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2B26" w14:textId="5C72157E" w:rsidR="0067066F" w:rsidRPr="005828AA" w:rsidRDefault="00B20EE7" w:rsidP="005828AA">
      <w:pPr>
        <w:jc w:val="center"/>
        <w:rPr>
          <w:rFonts w:ascii="Avenir Book" w:hAnsi="Avenir Book"/>
          <w:b/>
          <w:bCs/>
          <w:color w:val="0070C0"/>
          <w:sz w:val="28"/>
          <w:szCs w:val="28"/>
          <w:lang w:val="es-ES"/>
        </w:rPr>
      </w:pPr>
      <w:r w:rsidRPr="005828AA">
        <w:rPr>
          <w:rFonts w:ascii="Avenir Book" w:hAnsi="Avenir Book"/>
          <w:b/>
          <w:bCs/>
          <w:color w:val="0070C0"/>
          <w:sz w:val="28"/>
          <w:szCs w:val="28"/>
          <w:lang w:val="es-ES"/>
        </w:rPr>
        <w:t>LA INVERSIÓN SEGÚN EL NIVEL DE DESARROLLO DE LAS EMPRESAS</w:t>
      </w:r>
    </w:p>
    <w:p w14:paraId="03F80DC6" w14:textId="51114FA2" w:rsidR="009408BE" w:rsidRPr="005828AA" w:rsidRDefault="00B20EE7" w:rsidP="009408BE">
      <w:pPr>
        <w:jc w:val="both"/>
        <w:rPr>
          <w:rFonts w:ascii="Avenir Book" w:hAnsi="Avenir Book"/>
          <w:color w:val="000000" w:themeColor="text1"/>
          <w:sz w:val="20"/>
          <w:szCs w:val="20"/>
          <w:lang w:val="es-ES"/>
        </w:rPr>
      </w:pPr>
      <w:r w:rsidRPr="005828AA">
        <w:rPr>
          <w:rFonts w:ascii="Avenir Book" w:hAnsi="Avenir Book"/>
          <w:color w:val="000000" w:themeColor="text1"/>
          <w:sz w:val="20"/>
          <w:szCs w:val="20"/>
          <w:lang w:val="es-ES"/>
        </w:rPr>
        <w:t xml:space="preserve">Cuando se </w:t>
      </w:r>
      <w:r w:rsidR="0067066F" w:rsidRPr="005828AA">
        <w:rPr>
          <w:rFonts w:ascii="Avenir Book" w:hAnsi="Avenir Book"/>
          <w:color w:val="000000" w:themeColor="text1"/>
          <w:sz w:val="20"/>
          <w:szCs w:val="20"/>
          <w:lang w:val="es-ES"/>
        </w:rPr>
        <w:t xml:space="preserve">habla de </w:t>
      </w:r>
      <w:r w:rsidRPr="005828AA">
        <w:rPr>
          <w:rFonts w:ascii="Avenir Book" w:hAnsi="Avenir Book"/>
          <w:color w:val="000000" w:themeColor="text1"/>
          <w:sz w:val="20"/>
          <w:szCs w:val="20"/>
          <w:lang w:val="es-ES"/>
        </w:rPr>
        <w:t>e</w:t>
      </w:r>
      <w:r w:rsidR="0067066F" w:rsidRPr="005828AA">
        <w:rPr>
          <w:rFonts w:ascii="Avenir Book" w:hAnsi="Avenir Book"/>
          <w:color w:val="000000" w:themeColor="text1"/>
          <w:sz w:val="20"/>
          <w:szCs w:val="20"/>
          <w:lang w:val="es-ES"/>
        </w:rPr>
        <w:t>mprender</w:t>
      </w:r>
      <w:r w:rsidRPr="005828AA">
        <w:rPr>
          <w:rFonts w:ascii="Avenir Book" w:hAnsi="Avenir Book"/>
          <w:color w:val="000000" w:themeColor="text1"/>
          <w:sz w:val="20"/>
          <w:szCs w:val="20"/>
          <w:lang w:val="es-ES"/>
        </w:rPr>
        <w:t xml:space="preserve">, uno de los principales </w:t>
      </w:r>
      <w:r w:rsidR="007F3E99" w:rsidRPr="005828AA">
        <w:rPr>
          <w:rFonts w:ascii="Avenir Book" w:hAnsi="Avenir Book"/>
          <w:color w:val="000000" w:themeColor="text1"/>
          <w:sz w:val="20"/>
          <w:szCs w:val="20"/>
          <w:lang w:val="es-ES"/>
        </w:rPr>
        <w:t>desafíos</w:t>
      </w:r>
      <w:r w:rsidRPr="005828AA">
        <w:rPr>
          <w:rFonts w:ascii="Avenir Book" w:hAnsi="Avenir Book"/>
          <w:color w:val="000000" w:themeColor="text1"/>
          <w:sz w:val="20"/>
          <w:szCs w:val="20"/>
          <w:lang w:val="es-ES"/>
        </w:rPr>
        <w:t xml:space="preserve"> para </w:t>
      </w:r>
      <w:r w:rsidR="0067066F" w:rsidRPr="005828AA">
        <w:rPr>
          <w:rFonts w:ascii="Avenir Book" w:hAnsi="Avenir Book"/>
          <w:color w:val="000000" w:themeColor="text1"/>
          <w:sz w:val="20"/>
          <w:szCs w:val="20"/>
          <w:lang w:val="es-ES"/>
        </w:rPr>
        <w:t xml:space="preserve">los emprendedores es la consecución de financiamiento que pueda apalancar </w:t>
      </w:r>
      <w:r w:rsidR="007F3E99" w:rsidRPr="005828AA">
        <w:rPr>
          <w:rFonts w:ascii="Avenir Book" w:hAnsi="Avenir Book"/>
          <w:color w:val="000000" w:themeColor="text1"/>
          <w:sz w:val="20"/>
          <w:szCs w:val="20"/>
          <w:lang w:val="es-ES"/>
        </w:rPr>
        <w:t>las actividades a lo largo de la vida de las empresas</w:t>
      </w:r>
      <w:r w:rsidR="009408BE" w:rsidRPr="005828AA">
        <w:rPr>
          <w:rFonts w:ascii="Avenir Book" w:hAnsi="Avenir Book"/>
          <w:color w:val="000000" w:themeColor="text1"/>
          <w:sz w:val="20"/>
          <w:szCs w:val="20"/>
          <w:lang w:val="es-ES"/>
        </w:rPr>
        <w:t>.</w:t>
      </w:r>
      <w:r w:rsidR="007F3E99" w:rsidRPr="005828AA">
        <w:rPr>
          <w:rFonts w:ascii="Avenir Book" w:hAnsi="Avenir Book"/>
          <w:color w:val="000000" w:themeColor="text1"/>
          <w:sz w:val="20"/>
          <w:szCs w:val="20"/>
          <w:lang w:val="es-ES"/>
        </w:rPr>
        <w:t xml:space="preserve"> </w:t>
      </w:r>
      <w:r w:rsidR="009408BE" w:rsidRPr="005828AA">
        <w:rPr>
          <w:rFonts w:ascii="Avenir Book" w:hAnsi="Avenir Book"/>
          <w:color w:val="000000" w:themeColor="text1"/>
          <w:sz w:val="20"/>
          <w:szCs w:val="20"/>
          <w:lang w:val="es-ES"/>
        </w:rPr>
        <w:t xml:space="preserve">Como retos se pueden observar la escasa oferta de alternativas de financiamiento o el desconocimiento de estas y sus características, </w:t>
      </w:r>
      <w:r w:rsidR="002A1722" w:rsidRPr="005828AA">
        <w:rPr>
          <w:rFonts w:ascii="Avenir Book" w:hAnsi="Avenir Book"/>
          <w:color w:val="000000" w:themeColor="text1"/>
          <w:sz w:val="20"/>
          <w:szCs w:val="20"/>
          <w:lang w:val="es-ES"/>
        </w:rPr>
        <w:t xml:space="preserve">la poca claridad sobre </w:t>
      </w:r>
      <w:r w:rsidR="009408BE" w:rsidRPr="005828AA">
        <w:rPr>
          <w:rFonts w:ascii="Avenir Book" w:hAnsi="Avenir Book"/>
          <w:color w:val="000000" w:themeColor="text1"/>
          <w:sz w:val="20"/>
          <w:szCs w:val="20"/>
          <w:lang w:val="es-ES"/>
        </w:rPr>
        <w:t xml:space="preserve">las necesidades reales de las empresas, trámites en muchas ocasiones largos y complejos y </w:t>
      </w:r>
      <w:r w:rsidR="002A1722" w:rsidRPr="005828AA">
        <w:rPr>
          <w:rFonts w:ascii="Avenir Book" w:hAnsi="Avenir Book"/>
          <w:color w:val="000000" w:themeColor="text1"/>
          <w:sz w:val="20"/>
          <w:szCs w:val="20"/>
          <w:lang w:val="es-ES"/>
        </w:rPr>
        <w:t xml:space="preserve">los </w:t>
      </w:r>
      <w:r w:rsidR="009408BE" w:rsidRPr="005828AA">
        <w:rPr>
          <w:rFonts w:ascii="Avenir Book" w:hAnsi="Avenir Book"/>
          <w:color w:val="000000" w:themeColor="text1"/>
          <w:sz w:val="20"/>
          <w:szCs w:val="20"/>
          <w:lang w:val="es-ES"/>
        </w:rPr>
        <w:t>altos costos de los productos financieros</w:t>
      </w:r>
      <w:r w:rsidR="002A1722" w:rsidRPr="005828AA">
        <w:rPr>
          <w:rFonts w:ascii="Avenir Book" w:hAnsi="Avenir Book"/>
          <w:color w:val="000000" w:themeColor="text1"/>
          <w:sz w:val="20"/>
          <w:szCs w:val="20"/>
          <w:lang w:val="es-ES"/>
        </w:rPr>
        <w:t>,</w:t>
      </w:r>
      <w:r w:rsidR="009408BE" w:rsidRPr="005828AA">
        <w:rPr>
          <w:rFonts w:ascii="Avenir Book" w:hAnsi="Avenir Book"/>
          <w:color w:val="000000" w:themeColor="text1"/>
          <w:sz w:val="20"/>
          <w:szCs w:val="20"/>
          <w:lang w:val="es-ES"/>
        </w:rPr>
        <w:t xml:space="preserve"> en ocasiones con cuotas poco ajustadas a las capacidades de pago de los/as empresarios/as y plazos muy cortos.</w:t>
      </w:r>
    </w:p>
    <w:p w14:paraId="51CA5C52" w14:textId="4A58B57B" w:rsidR="009408BE" w:rsidRPr="005828AA" w:rsidRDefault="002A1722" w:rsidP="009408BE">
      <w:pPr>
        <w:jc w:val="both"/>
        <w:rPr>
          <w:rFonts w:ascii="Avenir Book" w:hAnsi="Avenir Book"/>
          <w:sz w:val="20"/>
          <w:szCs w:val="20"/>
        </w:rPr>
      </w:pPr>
      <w:r w:rsidRPr="005828AA">
        <w:rPr>
          <w:rFonts w:ascii="Avenir Book" w:hAnsi="Avenir Book"/>
          <w:color w:val="000000" w:themeColor="text1"/>
          <w:sz w:val="20"/>
          <w:szCs w:val="20"/>
          <w:lang w:val="es-ES"/>
        </w:rPr>
        <w:t>La limitación de recursos propios sumado a las anteriores condiciones</w:t>
      </w:r>
      <w:r w:rsidR="00BC3948" w:rsidRPr="005828AA">
        <w:rPr>
          <w:rFonts w:ascii="Avenir Book" w:hAnsi="Avenir Book"/>
          <w:color w:val="000000" w:themeColor="text1"/>
          <w:sz w:val="20"/>
          <w:szCs w:val="20"/>
          <w:lang w:val="es-ES"/>
        </w:rPr>
        <w:t>,</w:t>
      </w:r>
      <w:r w:rsidRPr="005828AA">
        <w:rPr>
          <w:rFonts w:ascii="Avenir Book" w:hAnsi="Avenir Book"/>
          <w:color w:val="000000" w:themeColor="text1"/>
          <w:sz w:val="20"/>
          <w:szCs w:val="20"/>
          <w:lang w:val="es-ES"/>
        </w:rPr>
        <w:t xml:space="preserve"> dan como resultado que algunas empresas recurran </w:t>
      </w:r>
      <w:r w:rsidRPr="005828AA">
        <w:rPr>
          <w:rFonts w:ascii="Avenir Book" w:hAnsi="Avenir Book"/>
          <w:sz w:val="20"/>
          <w:szCs w:val="20"/>
        </w:rPr>
        <w:t>a fuentes informales de financiación endeudándose a elevadas tasas de interés</w:t>
      </w:r>
      <w:r w:rsidR="00BC3948" w:rsidRPr="005828AA">
        <w:rPr>
          <w:rFonts w:ascii="Avenir Book" w:hAnsi="Avenir Book"/>
          <w:sz w:val="20"/>
          <w:szCs w:val="20"/>
        </w:rPr>
        <w:t>,</w:t>
      </w:r>
      <w:r w:rsidRPr="005828AA">
        <w:rPr>
          <w:rFonts w:ascii="Avenir Book" w:hAnsi="Avenir Book"/>
          <w:sz w:val="20"/>
          <w:szCs w:val="20"/>
        </w:rPr>
        <w:t xml:space="preserve"> construyendo así una inadecuada estructura financiera que las deja expuestas y susceptibles a quiebras y baja permanencia en el mercado.</w:t>
      </w:r>
    </w:p>
    <w:p w14:paraId="70FC2F77" w14:textId="4451C80B" w:rsidR="00AC75C1" w:rsidRPr="005828AA" w:rsidRDefault="00AC75C1" w:rsidP="003F7C89">
      <w:pPr>
        <w:jc w:val="both"/>
        <w:rPr>
          <w:rFonts w:ascii="Avenir Book" w:hAnsi="Avenir Book"/>
          <w:color w:val="000000" w:themeColor="text1"/>
          <w:sz w:val="20"/>
          <w:szCs w:val="20"/>
          <w:lang w:val="es-ES"/>
        </w:rPr>
      </w:pPr>
      <w:r w:rsidRPr="005828AA">
        <w:rPr>
          <w:rFonts w:ascii="Avenir Book" w:hAnsi="Avenir Book"/>
          <w:color w:val="000000" w:themeColor="text1"/>
          <w:sz w:val="20"/>
          <w:szCs w:val="20"/>
          <w:lang w:val="es-ES"/>
        </w:rPr>
        <w:t xml:space="preserve">Existen importantes retos de financiación en el segmento MiPymes en Colombia, los cuales están relacionados con: </w:t>
      </w:r>
      <w:r w:rsidR="003F7C89" w:rsidRPr="005828AA">
        <w:rPr>
          <w:rFonts w:ascii="Avenir Book" w:hAnsi="Avenir Book"/>
          <w:color w:val="000000" w:themeColor="text1"/>
          <w:sz w:val="20"/>
          <w:szCs w:val="20"/>
          <w:lang w:val="es-ES"/>
        </w:rPr>
        <w:t>I</w:t>
      </w:r>
      <w:r w:rsidRPr="005828AA">
        <w:rPr>
          <w:rFonts w:ascii="Avenir Book" w:hAnsi="Avenir Book"/>
          <w:color w:val="000000" w:themeColor="text1"/>
          <w:sz w:val="20"/>
          <w:szCs w:val="20"/>
          <w:lang w:val="es-ES"/>
        </w:rPr>
        <w:t xml:space="preserve">) el bajo acceso al financiamiento formal; </w:t>
      </w:r>
      <w:r w:rsidR="003F7C89" w:rsidRPr="005828AA">
        <w:rPr>
          <w:rFonts w:ascii="Avenir Book" w:hAnsi="Avenir Book"/>
          <w:color w:val="000000" w:themeColor="text1"/>
          <w:sz w:val="20"/>
          <w:szCs w:val="20"/>
          <w:lang w:val="es-ES"/>
        </w:rPr>
        <w:t>II</w:t>
      </w:r>
      <w:r w:rsidRPr="005828AA">
        <w:rPr>
          <w:rFonts w:ascii="Avenir Book" w:hAnsi="Avenir Book"/>
          <w:color w:val="000000" w:themeColor="text1"/>
          <w:sz w:val="20"/>
          <w:szCs w:val="20"/>
          <w:lang w:val="es-ES"/>
        </w:rPr>
        <w:t xml:space="preserve">) la alta exclusión voluntaria al financiamiento formal; </w:t>
      </w:r>
      <w:r w:rsidR="003F7C89" w:rsidRPr="005828AA">
        <w:rPr>
          <w:rFonts w:ascii="Avenir Book" w:hAnsi="Avenir Book"/>
          <w:color w:val="000000" w:themeColor="text1"/>
          <w:sz w:val="20"/>
          <w:szCs w:val="20"/>
          <w:lang w:val="es-ES"/>
        </w:rPr>
        <w:t>III</w:t>
      </w:r>
      <w:r w:rsidRPr="005828AA">
        <w:rPr>
          <w:rFonts w:ascii="Avenir Book" w:hAnsi="Avenir Book"/>
          <w:color w:val="000000" w:themeColor="text1"/>
          <w:sz w:val="20"/>
          <w:szCs w:val="20"/>
          <w:lang w:val="es-ES"/>
        </w:rPr>
        <w:t xml:space="preserve">) la alta proporción de créditos formales destinados a proveer liquidez y no a inversión; </w:t>
      </w:r>
      <w:r w:rsidR="003F7C89" w:rsidRPr="005828AA">
        <w:rPr>
          <w:rFonts w:ascii="Avenir Book" w:hAnsi="Avenir Book"/>
          <w:color w:val="000000" w:themeColor="text1"/>
          <w:sz w:val="20"/>
          <w:szCs w:val="20"/>
          <w:lang w:val="es-ES"/>
        </w:rPr>
        <w:t>IV</w:t>
      </w:r>
      <w:r w:rsidRPr="005828AA">
        <w:rPr>
          <w:rFonts w:ascii="Avenir Book" w:hAnsi="Avenir Book"/>
          <w:color w:val="000000" w:themeColor="text1"/>
          <w:sz w:val="20"/>
          <w:szCs w:val="20"/>
          <w:lang w:val="es-ES"/>
        </w:rPr>
        <w:t xml:space="preserve">) el bajo acceso a fuentes alternativas de financiamiento como el leasing y el factoring; </w:t>
      </w:r>
      <w:r w:rsidR="003F7C89" w:rsidRPr="005828AA">
        <w:rPr>
          <w:rFonts w:ascii="Avenir Book" w:hAnsi="Avenir Book"/>
          <w:color w:val="000000" w:themeColor="text1"/>
          <w:sz w:val="20"/>
          <w:szCs w:val="20"/>
          <w:lang w:val="es-ES"/>
        </w:rPr>
        <w:t>V</w:t>
      </w:r>
      <w:r w:rsidRPr="005828AA">
        <w:rPr>
          <w:rFonts w:ascii="Avenir Book" w:hAnsi="Avenir Book"/>
          <w:color w:val="000000" w:themeColor="text1"/>
          <w:sz w:val="20"/>
          <w:szCs w:val="20"/>
          <w:lang w:val="es-ES"/>
        </w:rPr>
        <w:t xml:space="preserve">) necesidad de potenciar otras fuentes de financiación; y </w:t>
      </w:r>
      <w:r w:rsidR="003F7C89" w:rsidRPr="005828AA">
        <w:rPr>
          <w:rFonts w:ascii="Avenir Book" w:hAnsi="Avenir Book"/>
          <w:color w:val="000000" w:themeColor="text1"/>
          <w:sz w:val="20"/>
          <w:szCs w:val="20"/>
          <w:lang w:val="es-ES"/>
        </w:rPr>
        <w:t>VII</w:t>
      </w:r>
      <w:r w:rsidRPr="005828AA">
        <w:rPr>
          <w:rFonts w:ascii="Avenir Book" w:hAnsi="Avenir Book"/>
          <w:color w:val="000000" w:themeColor="text1"/>
          <w:sz w:val="20"/>
          <w:szCs w:val="20"/>
          <w:lang w:val="es-ES"/>
        </w:rPr>
        <w:t xml:space="preserve">) las necesidades de mayor educación financiera.  </w:t>
      </w:r>
    </w:p>
    <w:p w14:paraId="15B5CF7C" w14:textId="209AC8C0" w:rsidR="00AC75C1" w:rsidRPr="005828AA" w:rsidRDefault="00AC75C1" w:rsidP="003F7C89">
      <w:pPr>
        <w:jc w:val="both"/>
        <w:rPr>
          <w:rFonts w:ascii="Avenir Book" w:hAnsi="Avenir Book"/>
          <w:color w:val="000000" w:themeColor="text1"/>
          <w:sz w:val="20"/>
          <w:szCs w:val="20"/>
          <w:lang w:val="es-ES"/>
        </w:rPr>
      </w:pPr>
      <w:r w:rsidRPr="005828AA">
        <w:rPr>
          <w:rFonts w:ascii="Avenir Book" w:hAnsi="Avenir Book"/>
          <w:color w:val="000000" w:themeColor="text1"/>
          <w:sz w:val="20"/>
          <w:szCs w:val="20"/>
          <w:lang w:val="es-ES"/>
        </w:rPr>
        <w:t xml:space="preserve">Los créditos que se otorgaron a los empresarios MiPymes no fueron prioritariamente destinados a inversión. En efecto, de acuerdo con la </w:t>
      </w:r>
      <w:r w:rsidRPr="005828AA">
        <w:rPr>
          <w:rFonts w:ascii="Avenir Book" w:hAnsi="Avenir Book"/>
          <w:i/>
          <w:iCs/>
          <w:color w:val="000000" w:themeColor="text1"/>
          <w:sz w:val="20"/>
          <w:szCs w:val="20"/>
          <w:lang w:val="es-ES"/>
        </w:rPr>
        <w:t>GEM</w:t>
      </w:r>
      <w:r w:rsidR="00753001" w:rsidRPr="005828AA">
        <w:rPr>
          <w:rFonts w:ascii="Avenir Book" w:hAnsi="Avenir Book"/>
          <w:i/>
          <w:iCs/>
          <w:color w:val="000000" w:themeColor="text1"/>
          <w:sz w:val="20"/>
          <w:szCs w:val="20"/>
          <w:lang w:val="es-ES"/>
        </w:rPr>
        <w:t xml:space="preserve"> </w:t>
      </w:r>
      <w:r w:rsidR="007A1613" w:rsidRPr="005828AA">
        <w:rPr>
          <w:rFonts w:ascii="Avenir Book" w:hAnsi="Avenir Book"/>
          <w:i/>
          <w:iCs/>
          <w:color w:val="000000" w:themeColor="text1"/>
          <w:sz w:val="20"/>
          <w:szCs w:val="20"/>
          <w:lang w:val="es-ES"/>
        </w:rPr>
        <w:t>(Gran Encuesta Microempresarial)</w:t>
      </w:r>
      <w:r w:rsidRPr="005828AA">
        <w:rPr>
          <w:rFonts w:ascii="Avenir Book" w:hAnsi="Avenir Book"/>
          <w:color w:val="000000" w:themeColor="text1"/>
          <w:sz w:val="20"/>
          <w:szCs w:val="20"/>
          <w:lang w:val="es-ES"/>
        </w:rPr>
        <w:t>, el principal destino de los recursos para los microempresarios estuvo asociado con la compra de materia prima, insumos, inventarios y demás gastos operativos o de funcionamiento (77% industria, 87% comercio y 56% servicios). Es decir, que más de la mitad de los encuestados usaron los préstamos para obtener liquidez, mientras que menos del 30% de los encuestados realizó remodelaciones o adecuaciones para ampliar la capacidad productiva; y menos del 13% de los empresarios lo usó para comprar o arrendar maquinaria.</w:t>
      </w:r>
    </w:p>
    <w:p w14:paraId="4E1D2B81" w14:textId="77777777" w:rsidR="00D16C0A" w:rsidRPr="005828AA" w:rsidRDefault="00AC75C1" w:rsidP="00D16C0A">
      <w:pPr>
        <w:jc w:val="both"/>
        <w:rPr>
          <w:rFonts w:ascii="Avenir Book" w:hAnsi="Avenir Book"/>
          <w:sz w:val="20"/>
          <w:szCs w:val="20"/>
        </w:rPr>
      </w:pPr>
      <w:r w:rsidRPr="005828AA">
        <w:rPr>
          <w:rFonts w:ascii="Avenir Book" w:hAnsi="Avenir Book"/>
          <w:color w:val="000000" w:themeColor="text1"/>
          <w:sz w:val="20"/>
          <w:szCs w:val="20"/>
          <w:lang w:val="es-ES"/>
        </w:rPr>
        <w:t xml:space="preserve">Asimismo, de acuerdo la última </w:t>
      </w:r>
      <w:r w:rsidRPr="005828AA">
        <w:rPr>
          <w:rFonts w:ascii="Avenir Book" w:hAnsi="Avenir Book"/>
          <w:i/>
          <w:iCs/>
          <w:color w:val="000000" w:themeColor="text1"/>
          <w:sz w:val="20"/>
          <w:szCs w:val="20"/>
          <w:lang w:val="es-ES"/>
        </w:rPr>
        <w:t>EDIF</w:t>
      </w:r>
      <w:r w:rsidR="008F4A1F" w:rsidRPr="005828AA">
        <w:rPr>
          <w:rFonts w:ascii="Avenir Book" w:hAnsi="Avenir Book"/>
          <w:i/>
          <w:iCs/>
          <w:color w:val="000000" w:themeColor="text1"/>
          <w:sz w:val="20"/>
          <w:szCs w:val="20"/>
          <w:lang w:val="es-ES"/>
        </w:rPr>
        <w:t xml:space="preserve"> </w:t>
      </w:r>
      <w:r w:rsidR="001E7C2D" w:rsidRPr="005828AA">
        <w:rPr>
          <w:rFonts w:ascii="Avenir Book" w:hAnsi="Avenir Book"/>
          <w:i/>
          <w:iCs/>
          <w:color w:val="000000" w:themeColor="text1"/>
          <w:sz w:val="20"/>
          <w:szCs w:val="20"/>
          <w:lang w:val="es-ES"/>
        </w:rPr>
        <w:t>(Estudio de Demanda de Inclusión Financiera)</w:t>
      </w:r>
      <w:r w:rsidRPr="005828AA">
        <w:rPr>
          <w:rFonts w:ascii="Avenir Book" w:hAnsi="Avenir Book"/>
          <w:color w:val="000000" w:themeColor="text1"/>
          <w:sz w:val="20"/>
          <w:szCs w:val="20"/>
          <w:lang w:val="es-ES"/>
        </w:rPr>
        <w:t>, el 35% de los microempresarios encuestados utilizaron las tarjetas de crédito para financiar las necesidades de capital de trabajo. A su vez, el 60,8% de los créditos con ONG fueron destinados a capital de trabajo.   Este aspecto también es recurrente en las empresas Pymes, donde un poco más del 50% de los empresarios del sector de industria y comercio utiliza los créditos para financiar su capital de trabajo. Por lo que pareciera que existe un problema de liquidez en las empresas MiPymes del país que impide que el crédito sea utilizado para hacer inversiones de largo plazo y, por el contrario, funcione como una herramienta para suplir las necesidades de recursos financieros de su día a día.</w:t>
      </w:r>
      <w:r w:rsidR="00D16C0A" w:rsidRPr="005828AA">
        <w:rPr>
          <w:rFonts w:ascii="Avenir Book" w:hAnsi="Avenir Book"/>
          <w:sz w:val="20"/>
          <w:szCs w:val="20"/>
        </w:rPr>
        <w:t xml:space="preserve"> </w:t>
      </w:r>
    </w:p>
    <w:p w14:paraId="24C005E7" w14:textId="3C3B0940" w:rsidR="00D16C0A" w:rsidRPr="005828AA" w:rsidRDefault="00DA57C4" w:rsidP="00D16C0A">
      <w:pPr>
        <w:jc w:val="both"/>
        <w:rPr>
          <w:rFonts w:ascii="Avenir Book" w:hAnsi="Avenir Book"/>
          <w:sz w:val="20"/>
          <w:szCs w:val="20"/>
        </w:rPr>
      </w:pPr>
      <w:r w:rsidRPr="005828AA">
        <w:rPr>
          <w:rFonts w:ascii="Avenir Book" w:hAnsi="Avenir Book"/>
          <w:sz w:val="20"/>
          <w:szCs w:val="20"/>
        </w:rPr>
        <w:t>Teniendo en cuenta el panorama anterior, e</w:t>
      </w:r>
      <w:r w:rsidR="00D16C0A" w:rsidRPr="005828AA">
        <w:rPr>
          <w:rFonts w:ascii="Avenir Book" w:hAnsi="Avenir Book"/>
          <w:sz w:val="20"/>
          <w:szCs w:val="20"/>
        </w:rPr>
        <w:t>s importante entender que</w:t>
      </w:r>
      <w:r w:rsidR="00445CAF" w:rsidRPr="005828AA">
        <w:rPr>
          <w:rFonts w:ascii="Avenir Book" w:hAnsi="Avenir Book"/>
          <w:sz w:val="20"/>
          <w:szCs w:val="20"/>
        </w:rPr>
        <w:t>,</w:t>
      </w:r>
      <w:r w:rsidR="00D16C0A" w:rsidRPr="005828AA">
        <w:rPr>
          <w:rFonts w:ascii="Avenir Book" w:hAnsi="Avenir Book"/>
          <w:sz w:val="20"/>
          <w:szCs w:val="20"/>
        </w:rPr>
        <w:t xml:space="preserve"> a pesar de conocer las etapas de desarrollo de las empresas y algunas directrices o consejos para su funcionamiento, </w:t>
      </w:r>
      <w:r w:rsidR="00D16C0A" w:rsidRPr="005828AA">
        <w:rPr>
          <w:rFonts w:ascii="Avenir Book" w:hAnsi="Avenir Book"/>
          <w:sz w:val="20"/>
          <w:szCs w:val="20"/>
        </w:rPr>
        <w:lastRenderedPageBreak/>
        <w:t xml:space="preserve">emprender </w:t>
      </w:r>
      <w:r w:rsidR="00D16C0A" w:rsidRPr="005828AA">
        <w:rPr>
          <w:rFonts w:ascii="Avenir Book" w:hAnsi="Avenir Book" w:cs="Segoe UI"/>
          <w:color w:val="242424"/>
          <w:sz w:val="20"/>
          <w:szCs w:val="20"/>
          <w:shd w:val="clear" w:color="auto" w:fill="FFFFFF"/>
        </w:rPr>
        <w:t xml:space="preserve">no suele ser un camino lineal en el que se sigue paso a paso una ruta, sino que, los retos a enfrentar son diversos; lo que lo convierte en una experiencia caótica y cada empresa debe conocer bien sus necesidades para trazar su propio camino. </w:t>
      </w:r>
      <w:r w:rsidR="00D16C0A" w:rsidRPr="005828AA">
        <w:rPr>
          <w:rFonts w:ascii="Avenir Book" w:hAnsi="Avenir Book"/>
          <w:sz w:val="20"/>
          <w:szCs w:val="20"/>
        </w:rPr>
        <w:t xml:space="preserve">Es importante conocer cuáles son las necesidades financieras antes de empezar a buscar fuentes de financiamiento y de esta manera darle el mejor destino posible a la inversión, ya sea para el despegue inicial de la empresa, compra de capital, desarrollo de productos/servicios, mercadeo o inversión para expansión, por ejemplo. </w:t>
      </w:r>
    </w:p>
    <w:p w14:paraId="75AF2384" w14:textId="77777777" w:rsidR="00D16C0A" w:rsidRPr="005828AA" w:rsidRDefault="00D16C0A" w:rsidP="00D16C0A">
      <w:pPr>
        <w:jc w:val="both"/>
        <w:rPr>
          <w:rFonts w:ascii="Avenir Book" w:hAnsi="Avenir Book"/>
          <w:sz w:val="20"/>
          <w:szCs w:val="20"/>
        </w:rPr>
      </w:pPr>
      <w:r w:rsidRPr="005828AA">
        <w:rPr>
          <w:rFonts w:ascii="Avenir Book" w:hAnsi="Avenir Book"/>
          <w:sz w:val="20"/>
          <w:szCs w:val="20"/>
        </w:rPr>
        <w:t xml:space="preserve">Así como no existen empresas iguales tampoco existen las mismas necesidades financieras y estas dependerán no sólo de la etapa de desarrollo del modelo de negocio sino también del sector económico; por esta razón, el conocimiento del mercado en el que se encuentra la empresa y su cadena de valor brindará más oportunidades de acertar a la hora de invertir para el crecimiento de la empresa y escoger la fuente de financiación óptima. </w:t>
      </w:r>
    </w:p>
    <w:p w14:paraId="7AB02B4C" w14:textId="7EBE4264" w:rsidR="005828AA" w:rsidRPr="005828AA" w:rsidRDefault="00F13C41" w:rsidP="005828AA">
      <w:pPr>
        <w:jc w:val="both"/>
        <w:rPr>
          <w:rFonts w:ascii="Avenir Book" w:hAnsi="Avenir Book"/>
          <w:sz w:val="20"/>
          <w:szCs w:val="20"/>
        </w:rPr>
      </w:pPr>
      <w:r w:rsidRPr="005828AA">
        <w:rPr>
          <w:rFonts w:ascii="Avenir Book" w:hAnsi="Avenir Book"/>
          <w:sz w:val="20"/>
          <w:szCs w:val="20"/>
        </w:rPr>
        <w:t>De acuerdo con las etapas de desarrollo el modelo de negocio, l</w:t>
      </w:r>
      <w:r w:rsidR="008F4D61" w:rsidRPr="005828AA">
        <w:rPr>
          <w:rFonts w:ascii="Avenir Book" w:hAnsi="Avenir Book"/>
          <w:sz w:val="20"/>
          <w:szCs w:val="20"/>
        </w:rPr>
        <w:t>a</w:t>
      </w:r>
      <w:r w:rsidRPr="005828AA">
        <w:rPr>
          <w:rFonts w:ascii="Avenir Book" w:hAnsi="Avenir Book"/>
          <w:sz w:val="20"/>
          <w:szCs w:val="20"/>
        </w:rPr>
        <w:t>s siguientes son l</w:t>
      </w:r>
      <w:r w:rsidR="008F4D61" w:rsidRPr="005828AA">
        <w:rPr>
          <w:rFonts w:ascii="Avenir Book" w:hAnsi="Avenir Book"/>
          <w:sz w:val="20"/>
          <w:szCs w:val="20"/>
        </w:rPr>
        <w:t xml:space="preserve">as principales actividades en las que se debe hacer énfasis a la hora de invertir para llevar a un siguiente nivel a la empresa: </w:t>
      </w:r>
    </w:p>
    <w:p w14:paraId="431983D6" w14:textId="4BB85C0D" w:rsidR="00E57145" w:rsidRPr="005828AA" w:rsidRDefault="00E57145" w:rsidP="00431FDF">
      <w:pPr>
        <w:ind w:left="-284"/>
        <w:jc w:val="center"/>
        <w:rPr>
          <w:rFonts w:ascii="Avenir Book" w:hAnsi="Avenir Book"/>
          <w:b/>
          <w:bCs/>
          <w:color w:val="0070C0"/>
          <w:sz w:val="36"/>
          <w:szCs w:val="36"/>
          <w:lang w:val="es-ES"/>
        </w:rPr>
      </w:pPr>
      <w:r w:rsidRPr="005828AA">
        <w:rPr>
          <w:rFonts w:ascii="Avenir Book" w:hAnsi="Avenir Book"/>
          <w:b/>
          <w:bCs/>
          <w:color w:val="0070C0"/>
          <w:sz w:val="36"/>
          <w:szCs w:val="36"/>
          <w:lang w:val="es-ES"/>
        </w:rPr>
        <w:t xml:space="preserve">Niveles </w:t>
      </w:r>
      <w:r w:rsidR="00B763B2" w:rsidRPr="005828AA">
        <w:rPr>
          <w:rFonts w:ascii="Avenir Book" w:hAnsi="Avenir Book"/>
          <w:b/>
          <w:bCs/>
          <w:color w:val="0070C0"/>
          <w:sz w:val="36"/>
          <w:szCs w:val="36"/>
          <w:lang w:val="es-ES"/>
        </w:rPr>
        <w:t xml:space="preserve">de Desarrollo </w:t>
      </w:r>
      <w:r w:rsidRPr="005828AA">
        <w:rPr>
          <w:rFonts w:ascii="Avenir Book" w:hAnsi="Avenir Book"/>
          <w:b/>
          <w:bCs/>
          <w:color w:val="0070C0"/>
          <w:sz w:val="36"/>
          <w:szCs w:val="36"/>
          <w:lang w:val="es-ES"/>
        </w:rPr>
        <w:t xml:space="preserve">vs </w:t>
      </w:r>
      <w:r w:rsidR="00B763B2" w:rsidRPr="005828AA">
        <w:rPr>
          <w:rFonts w:ascii="Avenir Book" w:hAnsi="Avenir Book"/>
          <w:b/>
          <w:bCs/>
          <w:color w:val="0070C0"/>
          <w:sz w:val="36"/>
          <w:szCs w:val="36"/>
          <w:lang w:val="es-ES"/>
        </w:rPr>
        <w:t xml:space="preserve">Destino de </w:t>
      </w:r>
      <w:r w:rsidRPr="005828AA">
        <w:rPr>
          <w:rFonts w:ascii="Avenir Book" w:hAnsi="Avenir Book"/>
          <w:b/>
          <w:bCs/>
          <w:color w:val="0070C0"/>
          <w:sz w:val="36"/>
          <w:szCs w:val="36"/>
          <w:lang w:val="es-ES"/>
        </w:rPr>
        <w:t>Inversión</w:t>
      </w:r>
    </w:p>
    <w:tbl>
      <w:tblPr>
        <w:tblStyle w:val="Tablaconcuadrcula"/>
        <w:tblW w:w="0" w:type="auto"/>
        <w:jc w:val="center"/>
        <w:tblLayout w:type="fixed"/>
        <w:tblLook w:val="04A0" w:firstRow="1" w:lastRow="0" w:firstColumn="1" w:lastColumn="0" w:noHBand="0" w:noVBand="1"/>
      </w:tblPr>
      <w:tblGrid>
        <w:gridCol w:w="1838"/>
        <w:gridCol w:w="5245"/>
      </w:tblGrid>
      <w:tr w:rsidR="00B763B2" w:rsidRPr="005828AA" w14:paraId="05F6B889" w14:textId="77777777" w:rsidTr="005828AA">
        <w:trPr>
          <w:trHeight w:val="510"/>
          <w:jc w:val="center"/>
        </w:trPr>
        <w:tc>
          <w:tcPr>
            <w:tcW w:w="1838" w:type="dxa"/>
            <w:shd w:val="clear" w:color="auto" w:fill="0070C0"/>
            <w:vAlign w:val="center"/>
          </w:tcPr>
          <w:p w14:paraId="6AE5C47B" w14:textId="77777777" w:rsidR="00B763B2" w:rsidRPr="005828AA" w:rsidRDefault="00B763B2" w:rsidP="00343355">
            <w:pPr>
              <w:jc w:val="center"/>
              <w:rPr>
                <w:rFonts w:ascii="Avenir Book" w:eastAsia="Calibri" w:hAnsi="Avenir Book" w:cs="Calibri"/>
                <w:b/>
                <w:bCs/>
                <w:color w:val="FFFFFF" w:themeColor="background1"/>
                <w:sz w:val="20"/>
                <w:szCs w:val="20"/>
                <w:lang w:val="es-ES"/>
              </w:rPr>
            </w:pPr>
            <w:r w:rsidRPr="005828AA">
              <w:rPr>
                <w:rFonts w:ascii="Avenir Book" w:eastAsia="Calibri" w:hAnsi="Avenir Book" w:cs="Calibri"/>
                <w:b/>
                <w:bCs/>
                <w:color w:val="FFFFFF" w:themeColor="background1"/>
                <w:sz w:val="20"/>
                <w:szCs w:val="20"/>
                <w:lang w:val="es-ES"/>
              </w:rPr>
              <w:t>Etapa</w:t>
            </w:r>
          </w:p>
        </w:tc>
        <w:tc>
          <w:tcPr>
            <w:tcW w:w="5245" w:type="dxa"/>
            <w:shd w:val="clear" w:color="auto" w:fill="0070C0"/>
            <w:vAlign w:val="center"/>
          </w:tcPr>
          <w:p w14:paraId="0BAF95C7" w14:textId="7D4577F6" w:rsidR="00B763B2" w:rsidRPr="005828AA" w:rsidRDefault="00445CAF" w:rsidP="00E06019">
            <w:pPr>
              <w:jc w:val="center"/>
              <w:rPr>
                <w:rFonts w:ascii="Avenir Book" w:eastAsia="Calibri" w:hAnsi="Avenir Book" w:cs="Calibri"/>
                <w:b/>
                <w:bCs/>
                <w:color w:val="FFFFFF" w:themeColor="background1"/>
                <w:sz w:val="20"/>
                <w:szCs w:val="20"/>
                <w:lang w:val="es-ES"/>
              </w:rPr>
            </w:pPr>
            <w:r w:rsidRPr="005828AA">
              <w:rPr>
                <w:rFonts w:ascii="Avenir Book" w:eastAsia="Calibri" w:hAnsi="Avenir Book" w:cs="Calibri"/>
                <w:b/>
                <w:bCs/>
                <w:color w:val="FFFFFF" w:themeColor="background1"/>
                <w:sz w:val="20"/>
                <w:szCs w:val="20"/>
                <w:lang w:val="es-ES"/>
              </w:rPr>
              <w:t>Destinos de Inversión Sugeridos</w:t>
            </w:r>
          </w:p>
        </w:tc>
      </w:tr>
      <w:tr w:rsidR="00B763B2" w:rsidRPr="005828AA" w14:paraId="6A3CA6B6" w14:textId="77777777" w:rsidTr="005828AA">
        <w:trPr>
          <w:trHeight w:val="1432"/>
          <w:jc w:val="center"/>
        </w:trPr>
        <w:tc>
          <w:tcPr>
            <w:tcW w:w="1838" w:type="dxa"/>
            <w:shd w:val="clear" w:color="auto" w:fill="FFC000"/>
            <w:vAlign w:val="center"/>
          </w:tcPr>
          <w:p w14:paraId="65120562" w14:textId="77777777" w:rsidR="00B763B2" w:rsidRPr="005828AA" w:rsidRDefault="00B763B2" w:rsidP="00343355">
            <w:pPr>
              <w:jc w:val="center"/>
              <w:rPr>
                <w:rFonts w:ascii="Avenir Book" w:eastAsia="Calibri" w:hAnsi="Avenir Book" w:cs="Calibri"/>
                <w:b/>
                <w:bCs/>
                <w:color w:val="000000" w:themeColor="text1"/>
                <w:sz w:val="20"/>
                <w:szCs w:val="20"/>
                <w:lang w:val="es-ES"/>
              </w:rPr>
            </w:pPr>
            <w:r w:rsidRPr="005828AA">
              <w:rPr>
                <w:rFonts w:ascii="Avenir Book" w:eastAsia="Calibri" w:hAnsi="Avenir Book" w:cs="Calibri"/>
                <w:b/>
                <w:bCs/>
                <w:color w:val="FFFFFF" w:themeColor="background1"/>
                <w:sz w:val="20"/>
                <w:szCs w:val="20"/>
                <w:lang w:val="es-ES"/>
              </w:rPr>
              <w:t>Semilla</w:t>
            </w:r>
          </w:p>
        </w:tc>
        <w:tc>
          <w:tcPr>
            <w:tcW w:w="5245" w:type="dxa"/>
            <w:shd w:val="clear" w:color="auto" w:fill="FFF2CC" w:themeFill="accent4" w:themeFillTint="33"/>
            <w:vAlign w:val="center"/>
          </w:tcPr>
          <w:p w14:paraId="18849F51" w14:textId="4EBA11C7" w:rsidR="00B763B2" w:rsidRPr="005828AA" w:rsidRDefault="00B763B2" w:rsidP="005828AA">
            <w:pPr>
              <w:rPr>
                <w:rFonts w:ascii="Avenir Book" w:eastAsia="Calibri" w:hAnsi="Avenir Book" w:cs="Calibri"/>
                <w:color w:val="000000" w:themeColor="text1"/>
                <w:sz w:val="20"/>
                <w:szCs w:val="20"/>
                <w:lang w:val="es-ES"/>
              </w:rPr>
            </w:pPr>
            <w:r w:rsidRPr="005828AA">
              <w:rPr>
                <w:rFonts w:ascii="Avenir Book" w:eastAsia="Calibri" w:hAnsi="Avenir Book" w:cs="Calibri"/>
                <w:color w:val="000000" w:themeColor="text1"/>
                <w:sz w:val="20"/>
                <w:szCs w:val="20"/>
                <w:lang w:val="es-ES"/>
              </w:rPr>
              <w:t>Estudios de Mercado</w:t>
            </w:r>
            <w:r w:rsidR="0002455E" w:rsidRPr="005828AA">
              <w:rPr>
                <w:rFonts w:ascii="Avenir Book" w:eastAsia="Calibri" w:hAnsi="Avenir Book" w:cs="Calibri"/>
                <w:color w:val="000000" w:themeColor="text1"/>
                <w:sz w:val="20"/>
                <w:szCs w:val="20"/>
                <w:lang w:val="es-ES"/>
              </w:rPr>
              <w:t xml:space="preserve"> </w:t>
            </w:r>
          </w:p>
          <w:p w14:paraId="6D65F5E1" w14:textId="77777777" w:rsidR="00B763B2" w:rsidRPr="005828AA" w:rsidRDefault="00B763B2" w:rsidP="005828AA">
            <w:pPr>
              <w:rPr>
                <w:rFonts w:ascii="Avenir Book" w:eastAsia="Calibri" w:hAnsi="Avenir Book" w:cs="Calibri"/>
                <w:color w:val="000000" w:themeColor="text1"/>
                <w:sz w:val="20"/>
                <w:szCs w:val="20"/>
                <w:lang w:val="es-ES"/>
              </w:rPr>
            </w:pPr>
          </w:p>
          <w:p w14:paraId="480BF192" w14:textId="66572AEE" w:rsidR="0002455E" w:rsidRPr="005828AA" w:rsidRDefault="00B763B2" w:rsidP="005828AA">
            <w:pPr>
              <w:rPr>
                <w:rFonts w:ascii="Avenir Book" w:eastAsia="Calibri" w:hAnsi="Avenir Book" w:cs="Calibri"/>
                <w:color w:val="000000" w:themeColor="text1"/>
                <w:sz w:val="20"/>
                <w:szCs w:val="20"/>
                <w:lang w:val="es-ES"/>
              </w:rPr>
            </w:pPr>
            <w:r w:rsidRPr="005828AA">
              <w:rPr>
                <w:rFonts w:ascii="Avenir Book" w:eastAsia="Calibri" w:hAnsi="Avenir Book" w:cs="Calibri"/>
                <w:color w:val="000000" w:themeColor="text1"/>
                <w:sz w:val="20"/>
                <w:szCs w:val="20"/>
                <w:lang w:val="es-ES"/>
              </w:rPr>
              <w:t>Planeación estratégica - Planes de Negocio</w:t>
            </w:r>
            <w:r w:rsidR="0002455E" w:rsidRPr="005828AA">
              <w:rPr>
                <w:rFonts w:ascii="Avenir Book" w:eastAsia="Calibri" w:hAnsi="Avenir Book" w:cs="Calibri"/>
                <w:color w:val="000000" w:themeColor="text1"/>
                <w:sz w:val="20"/>
                <w:szCs w:val="20"/>
                <w:lang w:val="es-ES"/>
              </w:rPr>
              <w:t xml:space="preserve"> </w:t>
            </w:r>
          </w:p>
          <w:p w14:paraId="523C1750" w14:textId="77777777" w:rsidR="0002455E" w:rsidRPr="005828AA" w:rsidRDefault="0002455E" w:rsidP="005828AA">
            <w:pPr>
              <w:rPr>
                <w:rFonts w:ascii="Avenir Book" w:eastAsia="Calibri" w:hAnsi="Avenir Book" w:cs="Calibri"/>
                <w:color w:val="000000" w:themeColor="text1"/>
                <w:sz w:val="20"/>
                <w:szCs w:val="20"/>
                <w:lang w:val="es-ES"/>
              </w:rPr>
            </w:pPr>
            <w:r w:rsidRPr="005828AA">
              <w:rPr>
                <w:rFonts w:ascii="Avenir Book" w:eastAsia="Calibri" w:hAnsi="Avenir Book" w:cs="Calibri"/>
                <w:color w:val="000000" w:themeColor="text1"/>
                <w:sz w:val="20"/>
                <w:szCs w:val="20"/>
                <w:lang w:val="es-ES"/>
              </w:rPr>
              <w:t>Definición de Modelo de Negocio</w:t>
            </w:r>
          </w:p>
          <w:p w14:paraId="12564407" w14:textId="58DCABA3" w:rsidR="00B763B2" w:rsidRPr="005828AA" w:rsidRDefault="00B763B2" w:rsidP="005828AA">
            <w:pPr>
              <w:rPr>
                <w:rFonts w:ascii="Avenir Book" w:eastAsia="Calibri" w:hAnsi="Avenir Book" w:cs="Calibri"/>
                <w:color w:val="000000" w:themeColor="text1"/>
                <w:sz w:val="20"/>
                <w:szCs w:val="20"/>
                <w:lang w:val="es-ES"/>
              </w:rPr>
            </w:pPr>
          </w:p>
          <w:p w14:paraId="7F65617B" w14:textId="10E6FD82" w:rsidR="00B763B2" w:rsidRPr="005828AA" w:rsidRDefault="00B763B2" w:rsidP="005828AA">
            <w:pPr>
              <w:rPr>
                <w:rFonts w:ascii="Avenir Book" w:eastAsia="Calibri" w:hAnsi="Avenir Book" w:cs="Calibri"/>
                <w:color w:val="000000" w:themeColor="text1"/>
                <w:sz w:val="20"/>
                <w:szCs w:val="20"/>
                <w:lang w:val="es-ES"/>
              </w:rPr>
            </w:pPr>
            <w:r w:rsidRPr="005828AA">
              <w:rPr>
                <w:rFonts w:ascii="Avenir Book" w:eastAsia="Calibri" w:hAnsi="Avenir Book" w:cs="Calibri"/>
                <w:color w:val="000000" w:themeColor="text1"/>
                <w:sz w:val="20"/>
                <w:szCs w:val="20"/>
                <w:lang w:val="es-ES"/>
              </w:rPr>
              <w:t>Proyecto de financiación</w:t>
            </w:r>
          </w:p>
        </w:tc>
      </w:tr>
      <w:tr w:rsidR="00B763B2" w:rsidRPr="005828AA" w14:paraId="7B13E377" w14:textId="77777777" w:rsidTr="005828AA">
        <w:trPr>
          <w:trHeight w:val="864"/>
          <w:jc w:val="center"/>
        </w:trPr>
        <w:tc>
          <w:tcPr>
            <w:tcW w:w="1838" w:type="dxa"/>
            <w:shd w:val="clear" w:color="auto" w:fill="F39643"/>
            <w:vAlign w:val="center"/>
          </w:tcPr>
          <w:p w14:paraId="33D48C14" w14:textId="77777777" w:rsidR="00B763B2" w:rsidRPr="005828AA" w:rsidRDefault="00B763B2" w:rsidP="00343355">
            <w:pPr>
              <w:jc w:val="center"/>
              <w:rPr>
                <w:rFonts w:ascii="Avenir Book" w:eastAsia="Calibri" w:hAnsi="Avenir Book" w:cs="Calibri"/>
                <w:b/>
                <w:bCs/>
                <w:color w:val="000000" w:themeColor="text1"/>
                <w:sz w:val="20"/>
                <w:szCs w:val="20"/>
                <w:lang w:val="es-ES"/>
              </w:rPr>
            </w:pPr>
            <w:r w:rsidRPr="005828AA">
              <w:rPr>
                <w:rFonts w:ascii="Avenir Book" w:eastAsia="Calibri" w:hAnsi="Avenir Book" w:cs="Calibri"/>
                <w:b/>
                <w:bCs/>
                <w:color w:val="FFFFFF" w:themeColor="background1"/>
                <w:sz w:val="20"/>
                <w:szCs w:val="20"/>
                <w:lang w:val="es-ES"/>
              </w:rPr>
              <w:t>Edad Temprana</w:t>
            </w:r>
          </w:p>
        </w:tc>
        <w:tc>
          <w:tcPr>
            <w:tcW w:w="5245" w:type="dxa"/>
            <w:shd w:val="clear" w:color="auto" w:fill="FBE4D5" w:themeFill="accent2" w:themeFillTint="33"/>
            <w:vAlign w:val="center"/>
          </w:tcPr>
          <w:p w14:paraId="7D804832" w14:textId="718E8658" w:rsidR="00B763B2" w:rsidRPr="005828AA" w:rsidRDefault="00B763B2" w:rsidP="005828AA">
            <w:pPr>
              <w:rPr>
                <w:rFonts w:ascii="Avenir Book" w:eastAsia="Calibri" w:hAnsi="Avenir Book" w:cs="Calibri"/>
                <w:color w:val="000000" w:themeColor="text1"/>
                <w:sz w:val="20"/>
                <w:szCs w:val="20"/>
                <w:lang w:val="es-ES"/>
              </w:rPr>
            </w:pPr>
            <w:r w:rsidRPr="005828AA">
              <w:rPr>
                <w:rFonts w:ascii="Avenir Book" w:eastAsia="Calibri" w:hAnsi="Avenir Book" w:cs="Calibri"/>
                <w:color w:val="000000" w:themeColor="text1"/>
                <w:sz w:val="20"/>
                <w:szCs w:val="20"/>
                <w:lang w:val="es-ES"/>
              </w:rPr>
              <w:t>Capital de Trabajo</w:t>
            </w:r>
          </w:p>
          <w:p w14:paraId="03C4C526" w14:textId="2ECBFAED" w:rsidR="00B763B2" w:rsidRPr="005828AA" w:rsidRDefault="00B763B2" w:rsidP="005828AA">
            <w:pPr>
              <w:rPr>
                <w:rFonts w:ascii="Avenir Book" w:eastAsia="Calibri" w:hAnsi="Avenir Book" w:cs="Calibri"/>
                <w:color w:val="000000" w:themeColor="text1"/>
                <w:sz w:val="20"/>
                <w:szCs w:val="20"/>
                <w:lang w:val="es-ES"/>
              </w:rPr>
            </w:pPr>
          </w:p>
          <w:p w14:paraId="7C0EADAF" w14:textId="3C7079F7" w:rsidR="00B763B2" w:rsidRPr="005828AA" w:rsidRDefault="00B763B2" w:rsidP="005828AA">
            <w:pPr>
              <w:rPr>
                <w:rFonts w:ascii="Avenir Book" w:eastAsia="Calibri" w:hAnsi="Avenir Book" w:cs="Calibri"/>
                <w:color w:val="000000" w:themeColor="text1"/>
                <w:sz w:val="20"/>
                <w:szCs w:val="20"/>
                <w:lang w:val="es-ES"/>
              </w:rPr>
            </w:pPr>
            <w:r w:rsidRPr="005828AA">
              <w:rPr>
                <w:rFonts w:ascii="Avenir Book" w:eastAsia="Calibri" w:hAnsi="Avenir Book" w:cs="Calibri"/>
                <w:color w:val="000000" w:themeColor="text1"/>
                <w:sz w:val="20"/>
                <w:szCs w:val="20"/>
                <w:lang w:val="es-ES"/>
              </w:rPr>
              <w:t>Diseño de Prototipos</w:t>
            </w:r>
          </w:p>
        </w:tc>
      </w:tr>
      <w:tr w:rsidR="00B763B2" w:rsidRPr="005828AA" w14:paraId="697B69B2" w14:textId="77777777" w:rsidTr="005828AA">
        <w:trPr>
          <w:trHeight w:val="1253"/>
          <w:jc w:val="center"/>
        </w:trPr>
        <w:tc>
          <w:tcPr>
            <w:tcW w:w="1838" w:type="dxa"/>
            <w:shd w:val="clear" w:color="auto" w:fill="F95721"/>
            <w:vAlign w:val="center"/>
          </w:tcPr>
          <w:p w14:paraId="450A46F7" w14:textId="77777777" w:rsidR="00B763B2" w:rsidRPr="005828AA" w:rsidRDefault="00B763B2" w:rsidP="00343355">
            <w:pPr>
              <w:jc w:val="center"/>
              <w:rPr>
                <w:rFonts w:ascii="Avenir Book" w:eastAsia="Calibri" w:hAnsi="Avenir Book" w:cs="Calibri"/>
                <w:b/>
                <w:bCs/>
                <w:color w:val="000000" w:themeColor="text1"/>
                <w:sz w:val="20"/>
                <w:szCs w:val="20"/>
                <w:lang w:val="es-ES"/>
              </w:rPr>
            </w:pPr>
            <w:r w:rsidRPr="005828AA">
              <w:rPr>
                <w:rFonts w:ascii="Avenir Book" w:eastAsia="Calibri" w:hAnsi="Avenir Book" w:cs="Calibri"/>
                <w:b/>
                <w:bCs/>
                <w:color w:val="FFFFFF" w:themeColor="background1"/>
                <w:sz w:val="20"/>
                <w:szCs w:val="20"/>
                <w:lang w:val="es-ES"/>
              </w:rPr>
              <w:t>Consolidación</w:t>
            </w:r>
          </w:p>
        </w:tc>
        <w:tc>
          <w:tcPr>
            <w:tcW w:w="5245" w:type="dxa"/>
            <w:shd w:val="clear" w:color="auto" w:fill="F7CAAC" w:themeFill="accent2" w:themeFillTint="66"/>
            <w:vAlign w:val="center"/>
          </w:tcPr>
          <w:p w14:paraId="47267103" w14:textId="7CD9BE77" w:rsidR="00B763B2" w:rsidRPr="005828AA" w:rsidRDefault="00B763B2" w:rsidP="005828AA">
            <w:pPr>
              <w:rPr>
                <w:rFonts w:ascii="Avenir Book" w:eastAsia="Calibri" w:hAnsi="Avenir Book" w:cs="Calibri"/>
                <w:color w:val="000000" w:themeColor="text1"/>
                <w:sz w:val="20"/>
                <w:szCs w:val="20"/>
                <w:lang w:val="es-ES"/>
              </w:rPr>
            </w:pPr>
            <w:r w:rsidRPr="005828AA">
              <w:rPr>
                <w:rFonts w:ascii="Avenir Book" w:eastAsia="Calibri" w:hAnsi="Avenir Book" w:cs="Calibri"/>
                <w:color w:val="000000" w:themeColor="text1"/>
                <w:sz w:val="20"/>
                <w:szCs w:val="20"/>
                <w:lang w:val="es-ES"/>
              </w:rPr>
              <w:t>Capital de Trabajo</w:t>
            </w:r>
            <w:r w:rsidR="0002455E" w:rsidRPr="005828AA">
              <w:rPr>
                <w:rFonts w:ascii="Avenir Book" w:eastAsia="Calibri" w:hAnsi="Avenir Book" w:cs="Calibri"/>
                <w:color w:val="000000" w:themeColor="text1"/>
                <w:sz w:val="20"/>
                <w:szCs w:val="20"/>
                <w:lang w:val="es-ES"/>
              </w:rPr>
              <w:t xml:space="preserve"> para expansión de operaciones</w:t>
            </w:r>
          </w:p>
          <w:p w14:paraId="77D45B04" w14:textId="77777777" w:rsidR="00B763B2" w:rsidRPr="005828AA" w:rsidRDefault="00B763B2" w:rsidP="005828AA">
            <w:pPr>
              <w:rPr>
                <w:rFonts w:ascii="Avenir Book" w:eastAsia="Calibri" w:hAnsi="Avenir Book" w:cs="Calibri"/>
                <w:color w:val="000000" w:themeColor="text1"/>
                <w:sz w:val="20"/>
                <w:szCs w:val="20"/>
                <w:lang w:val="es-ES"/>
              </w:rPr>
            </w:pPr>
          </w:p>
          <w:p w14:paraId="77664DF5" w14:textId="3EF7FA2B" w:rsidR="00B763B2" w:rsidRPr="005828AA" w:rsidRDefault="00B763B2" w:rsidP="005828AA">
            <w:pPr>
              <w:rPr>
                <w:rFonts w:ascii="Avenir Book" w:eastAsia="Calibri" w:hAnsi="Avenir Book" w:cs="Calibri"/>
                <w:color w:val="000000" w:themeColor="text1"/>
                <w:sz w:val="20"/>
                <w:szCs w:val="20"/>
                <w:lang w:val="es-ES"/>
              </w:rPr>
            </w:pPr>
            <w:r w:rsidRPr="005828AA">
              <w:rPr>
                <w:rFonts w:ascii="Avenir Book" w:eastAsia="Calibri" w:hAnsi="Avenir Book" w:cs="Calibri"/>
                <w:color w:val="000000" w:themeColor="text1"/>
                <w:sz w:val="20"/>
                <w:szCs w:val="20"/>
                <w:lang w:val="es-ES"/>
              </w:rPr>
              <w:t>Estudios de Mercado</w:t>
            </w:r>
            <w:r w:rsidR="0002455E" w:rsidRPr="005828AA">
              <w:rPr>
                <w:rFonts w:ascii="Avenir Book" w:eastAsia="Calibri" w:hAnsi="Avenir Book" w:cs="Calibri"/>
                <w:color w:val="000000" w:themeColor="text1"/>
                <w:sz w:val="20"/>
                <w:szCs w:val="20"/>
                <w:lang w:val="es-ES"/>
              </w:rPr>
              <w:t>; consecución de nuevos en clientes</w:t>
            </w:r>
          </w:p>
          <w:p w14:paraId="1396F451" w14:textId="77777777" w:rsidR="00B763B2" w:rsidRPr="005828AA" w:rsidRDefault="00B763B2" w:rsidP="005828AA">
            <w:pPr>
              <w:rPr>
                <w:rFonts w:ascii="Avenir Book" w:eastAsia="Calibri" w:hAnsi="Avenir Book" w:cs="Calibri"/>
                <w:color w:val="000000" w:themeColor="text1"/>
                <w:sz w:val="20"/>
                <w:szCs w:val="20"/>
                <w:lang w:val="es-ES"/>
              </w:rPr>
            </w:pPr>
          </w:p>
          <w:p w14:paraId="36513996" w14:textId="7BFA5C76" w:rsidR="00B763B2" w:rsidRPr="005828AA" w:rsidRDefault="00B763B2" w:rsidP="005828AA">
            <w:pPr>
              <w:rPr>
                <w:rFonts w:ascii="Avenir Book" w:eastAsia="Calibri" w:hAnsi="Avenir Book" w:cs="Calibri"/>
                <w:color w:val="000000" w:themeColor="text1"/>
                <w:sz w:val="20"/>
                <w:szCs w:val="20"/>
                <w:lang w:val="es-ES"/>
              </w:rPr>
            </w:pPr>
            <w:r w:rsidRPr="005828AA">
              <w:rPr>
                <w:rFonts w:ascii="Avenir Book" w:eastAsia="Calibri" w:hAnsi="Avenir Book" w:cs="Calibri"/>
                <w:color w:val="000000" w:themeColor="text1"/>
                <w:sz w:val="20"/>
                <w:szCs w:val="20"/>
                <w:lang w:val="es-ES"/>
              </w:rPr>
              <w:t>Diseño y Desarrollo</w:t>
            </w:r>
            <w:r w:rsidR="0002455E" w:rsidRPr="005828AA">
              <w:rPr>
                <w:rFonts w:ascii="Avenir Book" w:eastAsia="Calibri" w:hAnsi="Avenir Book" w:cs="Calibri"/>
                <w:color w:val="000000" w:themeColor="text1"/>
                <w:sz w:val="20"/>
                <w:szCs w:val="20"/>
                <w:lang w:val="es-ES"/>
              </w:rPr>
              <w:t xml:space="preserve"> de productos/servicios</w:t>
            </w:r>
          </w:p>
        </w:tc>
      </w:tr>
      <w:tr w:rsidR="00B763B2" w:rsidRPr="005828AA" w14:paraId="7D580AF7" w14:textId="77777777" w:rsidTr="005828AA">
        <w:trPr>
          <w:trHeight w:val="973"/>
          <w:jc w:val="center"/>
        </w:trPr>
        <w:tc>
          <w:tcPr>
            <w:tcW w:w="1838" w:type="dxa"/>
            <w:shd w:val="clear" w:color="auto" w:fill="00B050"/>
            <w:vAlign w:val="center"/>
          </w:tcPr>
          <w:p w14:paraId="3E92C44E" w14:textId="77777777" w:rsidR="00B763B2" w:rsidRPr="005828AA" w:rsidRDefault="00B763B2" w:rsidP="00343355">
            <w:pPr>
              <w:jc w:val="center"/>
              <w:rPr>
                <w:rFonts w:ascii="Avenir Book" w:eastAsia="Calibri" w:hAnsi="Avenir Book" w:cs="Calibri"/>
                <w:b/>
                <w:bCs/>
                <w:color w:val="000000" w:themeColor="text1"/>
                <w:sz w:val="20"/>
                <w:szCs w:val="20"/>
                <w:lang w:val="es-ES"/>
              </w:rPr>
            </w:pPr>
            <w:r w:rsidRPr="005828AA">
              <w:rPr>
                <w:rFonts w:ascii="Avenir Book" w:eastAsia="Calibri" w:hAnsi="Avenir Book" w:cs="Calibri"/>
                <w:b/>
                <w:bCs/>
                <w:color w:val="FFFFFF" w:themeColor="background1"/>
                <w:sz w:val="20"/>
                <w:szCs w:val="20"/>
                <w:lang w:val="es-ES"/>
              </w:rPr>
              <w:t>Expansión</w:t>
            </w:r>
          </w:p>
        </w:tc>
        <w:tc>
          <w:tcPr>
            <w:tcW w:w="5245" w:type="dxa"/>
            <w:shd w:val="clear" w:color="auto" w:fill="E2EFD9" w:themeFill="accent6" w:themeFillTint="33"/>
            <w:vAlign w:val="center"/>
          </w:tcPr>
          <w:p w14:paraId="2A605416" w14:textId="278F7E44" w:rsidR="00B763B2" w:rsidRPr="005828AA" w:rsidRDefault="00B763B2" w:rsidP="005828AA">
            <w:pPr>
              <w:rPr>
                <w:rFonts w:ascii="Avenir Book" w:eastAsia="Calibri" w:hAnsi="Avenir Book" w:cs="Calibri"/>
                <w:color w:val="000000" w:themeColor="text1"/>
                <w:sz w:val="20"/>
                <w:szCs w:val="20"/>
                <w:lang w:val="es-ES"/>
              </w:rPr>
            </w:pPr>
            <w:r w:rsidRPr="005828AA">
              <w:rPr>
                <w:rFonts w:ascii="Avenir Book" w:eastAsia="Calibri" w:hAnsi="Avenir Book" w:cs="Calibri"/>
                <w:color w:val="000000" w:themeColor="text1"/>
                <w:sz w:val="20"/>
                <w:szCs w:val="20"/>
                <w:lang w:val="es-ES"/>
              </w:rPr>
              <w:t>Ampliación de Infraestructura</w:t>
            </w:r>
          </w:p>
          <w:p w14:paraId="6000FDAB" w14:textId="77777777" w:rsidR="00B763B2" w:rsidRPr="005828AA" w:rsidRDefault="00B763B2" w:rsidP="005828AA">
            <w:pPr>
              <w:rPr>
                <w:rFonts w:ascii="Avenir Book" w:eastAsia="Calibri" w:hAnsi="Avenir Book" w:cs="Calibri"/>
                <w:color w:val="000000" w:themeColor="text1"/>
                <w:sz w:val="20"/>
                <w:szCs w:val="20"/>
                <w:lang w:val="es-ES"/>
              </w:rPr>
            </w:pPr>
          </w:p>
          <w:p w14:paraId="1F81BABB" w14:textId="5444E323" w:rsidR="00B763B2" w:rsidRPr="005828AA" w:rsidRDefault="00B763B2" w:rsidP="005828AA">
            <w:pPr>
              <w:rPr>
                <w:rFonts w:ascii="Avenir Book" w:eastAsia="Calibri" w:hAnsi="Avenir Book" w:cs="Calibri"/>
                <w:color w:val="000000" w:themeColor="text1"/>
                <w:sz w:val="20"/>
                <w:szCs w:val="20"/>
                <w:lang w:val="es-ES"/>
              </w:rPr>
            </w:pPr>
            <w:r w:rsidRPr="005828AA">
              <w:rPr>
                <w:rFonts w:ascii="Avenir Book" w:eastAsia="Calibri" w:hAnsi="Avenir Book" w:cs="Calibri"/>
                <w:color w:val="000000" w:themeColor="text1"/>
                <w:sz w:val="20"/>
                <w:szCs w:val="20"/>
                <w:lang w:val="es-ES"/>
              </w:rPr>
              <w:t>Sustitución de Pasivos</w:t>
            </w:r>
          </w:p>
        </w:tc>
      </w:tr>
    </w:tbl>
    <w:p w14:paraId="565DE34C" w14:textId="77777777" w:rsidR="00B763B2" w:rsidRPr="005828AA" w:rsidRDefault="00B763B2" w:rsidP="00E57145">
      <w:pPr>
        <w:ind w:left="-284"/>
        <w:jc w:val="right"/>
        <w:rPr>
          <w:rFonts w:ascii="Avenir Book" w:hAnsi="Avenir Book"/>
          <w:color w:val="806000" w:themeColor="accent4" w:themeShade="80"/>
          <w:sz w:val="36"/>
          <w:szCs w:val="36"/>
          <w:lang w:val="es-ES"/>
        </w:rPr>
      </w:pPr>
    </w:p>
    <w:p w14:paraId="01B00037" w14:textId="5804EFA8" w:rsidR="00CA3807" w:rsidRPr="005828AA" w:rsidRDefault="00CA3807" w:rsidP="00E57145">
      <w:pPr>
        <w:ind w:left="-284"/>
        <w:jc w:val="right"/>
        <w:rPr>
          <w:rFonts w:ascii="Avenir Book" w:hAnsi="Avenir Book"/>
          <w:color w:val="806000" w:themeColor="accent4" w:themeShade="80"/>
          <w:sz w:val="36"/>
          <w:szCs w:val="36"/>
          <w:lang w:val="es-ES"/>
        </w:rPr>
      </w:pPr>
    </w:p>
    <w:p w14:paraId="195F4E3E" w14:textId="77777777" w:rsidR="002819B8" w:rsidRPr="005828AA" w:rsidRDefault="002819B8" w:rsidP="00287C90">
      <w:pPr>
        <w:ind w:left="-284"/>
        <w:jc w:val="both"/>
        <w:rPr>
          <w:rFonts w:ascii="Avenir Book" w:hAnsi="Avenir Book"/>
          <w:color w:val="806000" w:themeColor="accent4" w:themeShade="80"/>
          <w:sz w:val="24"/>
          <w:szCs w:val="24"/>
          <w:lang w:val="es-ES"/>
        </w:rPr>
      </w:pPr>
    </w:p>
    <w:p w14:paraId="34DDF408" w14:textId="77777777" w:rsidR="00BF4693" w:rsidRPr="005828AA" w:rsidRDefault="00BF4693" w:rsidP="00287C90">
      <w:pPr>
        <w:ind w:left="-284"/>
        <w:jc w:val="both"/>
        <w:rPr>
          <w:rFonts w:ascii="Avenir Book" w:hAnsi="Avenir Book"/>
          <w:color w:val="806000" w:themeColor="accent4" w:themeShade="80"/>
          <w:sz w:val="24"/>
          <w:szCs w:val="24"/>
          <w:lang w:val="es-ES"/>
        </w:rPr>
      </w:pPr>
    </w:p>
    <w:p w14:paraId="38FEAE1B" w14:textId="77777777" w:rsidR="00BF4693" w:rsidRPr="005828AA" w:rsidRDefault="00BF4693" w:rsidP="00287C90">
      <w:pPr>
        <w:ind w:left="-284"/>
        <w:jc w:val="both"/>
        <w:rPr>
          <w:rFonts w:ascii="Avenir Book" w:hAnsi="Avenir Book"/>
          <w:color w:val="806000" w:themeColor="accent4" w:themeShade="80"/>
          <w:sz w:val="24"/>
          <w:szCs w:val="24"/>
          <w:lang w:val="es-ES"/>
        </w:rPr>
      </w:pPr>
    </w:p>
    <w:p w14:paraId="0BBBF515" w14:textId="6C55377C" w:rsidR="00BF4693" w:rsidRDefault="00BF4693" w:rsidP="00287C90">
      <w:pPr>
        <w:ind w:left="-284"/>
        <w:jc w:val="both"/>
        <w:rPr>
          <w:rFonts w:ascii="Avenir Book" w:hAnsi="Avenir Book"/>
          <w:color w:val="806000" w:themeColor="accent4" w:themeShade="80"/>
          <w:sz w:val="24"/>
          <w:szCs w:val="24"/>
          <w:lang w:val="es-ES"/>
        </w:rPr>
      </w:pPr>
    </w:p>
    <w:p w14:paraId="1C3E7607" w14:textId="77777777" w:rsidR="007E0A51" w:rsidRDefault="007E0A51" w:rsidP="00287C90">
      <w:pPr>
        <w:ind w:left="-284"/>
        <w:jc w:val="both"/>
        <w:rPr>
          <w:rFonts w:ascii="Avenir Book" w:hAnsi="Avenir Book"/>
          <w:color w:val="806000" w:themeColor="accent4" w:themeShade="80"/>
          <w:sz w:val="24"/>
          <w:szCs w:val="24"/>
          <w:lang w:val="es-ES"/>
        </w:rPr>
      </w:pPr>
    </w:p>
    <w:p w14:paraId="4EF12943" w14:textId="77777777" w:rsidR="007E0A51" w:rsidRDefault="007E0A51" w:rsidP="00287C90">
      <w:pPr>
        <w:ind w:left="-284"/>
        <w:jc w:val="both"/>
        <w:rPr>
          <w:rFonts w:ascii="Avenir Book" w:hAnsi="Avenir Book"/>
          <w:color w:val="806000" w:themeColor="accent4" w:themeShade="80"/>
          <w:sz w:val="24"/>
          <w:szCs w:val="24"/>
          <w:lang w:val="es-ES"/>
        </w:rPr>
      </w:pPr>
    </w:p>
    <w:p w14:paraId="76D7B000" w14:textId="77777777" w:rsidR="007E0A51" w:rsidRDefault="007E0A51" w:rsidP="00287C90">
      <w:pPr>
        <w:ind w:left="-284"/>
        <w:jc w:val="both"/>
        <w:rPr>
          <w:rFonts w:ascii="Avenir Book" w:hAnsi="Avenir Book"/>
          <w:color w:val="806000" w:themeColor="accent4" w:themeShade="80"/>
          <w:sz w:val="24"/>
          <w:szCs w:val="24"/>
          <w:lang w:val="es-ES"/>
        </w:rPr>
      </w:pPr>
    </w:p>
    <w:p w14:paraId="366AAB6B" w14:textId="77777777" w:rsidR="007E0A51" w:rsidRDefault="007E0A51" w:rsidP="00287C90">
      <w:pPr>
        <w:ind w:left="-284"/>
        <w:jc w:val="both"/>
        <w:rPr>
          <w:rFonts w:ascii="Avenir Book" w:hAnsi="Avenir Book"/>
          <w:color w:val="806000" w:themeColor="accent4" w:themeShade="80"/>
          <w:sz w:val="24"/>
          <w:szCs w:val="24"/>
          <w:lang w:val="es-ES"/>
        </w:rPr>
      </w:pPr>
    </w:p>
    <w:p w14:paraId="4BAD663F" w14:textId="77777777" w:rsidR="007E0A51" w:rsidRDefault="007E0A51" w:rsidP="00287C90">
      <w:pPr>
        <w:ind w:left="-284"/>
        <w:jc w:val="both"/>
        <w:rPr>
          <w:rFonts w:ascii="Avenir Book" w:hAnsi="Avenir Book"/>
          <w:color w:val="806000" w:themeColor="accent4" w:themeShade="80"/>
          <w:sz w:val="24"/>
          <w:szCs w:val="24"/>
          <w:lang w:val="es-ES"/>
        </w:rPr>
      </w:pPr>
    </w:p>
    <w:p w14:paraId="4D8228C8" w14:textId="77777777" w:rsidR="007E0A51" w:rsidRDefault="007E0A51" w:rsidP="00287C90">
      <w:pPr>
        <w:ind w:left="-284"/>
        <w:jc w:val="both"/>
        <w:rPr>
          <w:rFonts w:ascii="Avenir Book" w:hAnsi="Avenir Book"/>
          <w:color w:val="806000" w:themeColor="accent4" w:themeShade="80"/>
          <w:sz w:val="24"/>
          <w:szCs w:val="24"/>
          <w:lang w:val="es-ES"/>
        </w:rPr>
      </w:pPr>
    </w:p>
    <w:p w14:paraId="1FB8EA21" w14:textId="77777777" w:rsidR="007E0A51" w:rsidRPr="005828AA" w:rsidRDefault="007E0A51" w:rsidP="00287C90">
      <w:pPr>
        <w:ind w:left="-284"/>
        <w:jc w:val="both"/>
        <w:rPr>
          <w:rFonts w:ascii="Avenir Book" w:hAnsi="Avenir Book"/>
          <w:color w:val="806000" w:themeColor="accent4" w:themeShade="80"/>
          <w:sz w:val="24"/>
          <w:szCs w:val="24"/>
          <w:lang w:val="es-ES"/>
        </w:rPr>
      </w:pPr>
    </w:p>
    <w:p w14:paraId="50CBE3E0" w14:textId="77777777" w:rsidR="002819B8" w:rsidRPr="005828AA" w:rsidRDefault="002819B8" w:rsidP="00287C90">
      <w:pPr>
        <w:ind w:left="-284"/>
        <w:jc w:val="both"/>
        <w:rPr>
          <w:rFonts w:ascii="Avenir Book" w:hAnsi="Avenir Book"/>
          <w:color w:val="806000" w:themeColor="accent4" w:themeShade="80"/>
          <w:sz w:val="24"/>
          <w:szCs w:val="24"/>
          <w:lang w:val="es-ES"/>
        </w:rPr>
      </w:pPr>
    </w:p>
    <w:p w14:paraId="506AEA48" w14:textId="7D4A70F5" w:rsidR="00CA3807" w:rsidRPr="005828AA" w:rsidRDefault="008D4805" w:rsidP="00785594">
      <w:pPr>
        <w:ind w:left="-284"/>
        <w:rPr>
          <w:rFonts w:ascii="Avenir Book" w:hAnsi="Avenir Book"/>
          <w:color w:val="0070C0"/>
          <w:sz w:val="16"/>
          <w:szCs w:val="16"/>
          <w:lang w:val="es-ES"/>
        </w:rPr>
      </w:pPr>
      <w:r w:rsidRPr="005828AA">
        <w:rPr>
          <w:rFonts w:ascii="Avenir Book" w:hAnsi="Avenir Book"/>
          <w:color w:val="0070C0"/>
          <w:sz w:val="24"/>
          <w:szCs w:val="24"/>
          <w:lang w:val="es-ES"/>
        </w:rPr>
        <w:t>Bibliografía</w:t>
      </w:r>
    </w:p>
    <w:p w14:paraId="40C15E88" w14:textId="39F5B101" w:rsidR="002F2EE4" w:rsidRPr="005828AA" w:rsidRDefault="002F2EE4" w:rsidP="00BF4693">
      <w:pPr>
        <w:ind w:left="-284"/>
        <w:rPr>
          <w:rFonts w:ascii="Avenir Book" w:hAnsi="Avenir Book"/>
          <w:sz w:val="18"/>
          <w:szCs w:val="18"/>
        </w:rPr>
      </w:pPr>
      <w:r w:rsidRPr="005828AA">
        <w:rPr>
          <w:rFonts w:ascii="Avenir Book" w:hAnsi="Avenir Book"/>
          <w:sz w:val="18"/>
          <w:szCs w:val="18"/>
        </w:rPr>
        <w:t>Área de inteligencia competitiva, Banca de las oportunidades. (2019). Financiamiento de las MiPymes en Colombia de sitio web</w:t>
      </w:r>
      <w:r w:rsidR="00BF4693" w:rsidRPr="005828AA">
        <w:rPr>
          <w:rFonts w:ascii="Avenir Book" w:hAnsi="Avenir Book"/>
          <w:sz w:val="18"/>
          <w:szCs w:val="18"/>
        </w:rPr>
        <w:t xml:space="preserve">: </w:t>
      </w:r>
      <w:hyperlink r:id="rId6" w:history="1">
        <w:r w:rsidRPr="005828AA">
          <w:rPr>
            <w:rStyle w:val="Hipervnculo"/>
            <w:rFonts w:ascii="Avenir Book" w:hAnsi="Avenir Book"/>
            <w:sz w:val="18"/>
            <w:szCs w:val="18"/>
          </w:rPr>
          <w:t>https://www.bancadelasoportunidades.gov.co/sites/default/files/2019-02/Financiamiento%20MiPymes.Vf_.pdf</w:t>
        </w:r>
      </w:hyperlink>
      <w:r w:rsidRPr="005828AA">
        <w:rPr>
          <w:rFonts w:ascii="Avenir Book" w:hAnsi="Avenir Book"/>
          <w:sz w:val="18"/>
          <w:szCs w:val="18"/>
        </w:rPr>
        <w:t xml:space="preserve"> </w:t>
      </w:r>
      <w:r w:rsidR="00BF4693" w:rsidRPr="005828AA">
        <w:rPr>
          <w:rFonts w:ascii="Avenir Book" w:hAnsi="Avenir Book"/>
          <w:sz w:val="18"/>
          <w:szCs w:val="18"/>
        </w:rPr>
        <w:t xml:space="preserve"> </w:t>
      </w:r>
    </w:p>
    <w:p w14:paraId="3570A0E2" w14:textId="7FED0A28" w:rsidR="00CA3807" w:rsidRPr="005828AA" w:rsidRDefault="00B65074" w:rsidP="00CA3807">
      <w:pPr>
        <w:ind w:left="-284"/>
        <w:jc w:val="both"/>
        <w:rPr>
          <w:rFonts w:ascii="Avenir Book" w:hAnsi="Avenir Book"/>
          <w:sz w:val="18"/>
          <w:szCs w:val="18"/>
          <w:lang w:val="es-ES"/>
        </w:rPr>
      </w:pPr>
      <w:r w:rsidRPr="005828AA">
        <w:rPr>
          <w:rFonts w:ascii="Avenir Book" w:hAnsi="Avenir Book"/>
          <w:sz w:val="18"/>
          <w:szCs w:val="18"/>
        </w:rPr>
        <w:t>Colombia Fintech. (202</w:t>
      </w:r>
      <w:r w:rsidR="006528AB" w:rsidRPr="005828AA">
        <w:rPr>
          <w:rFonts w:ascii="Avenir Book" w:hAnsi="Avenir Book"/>
          <w:sz w:val="18"/>
          <w:szCs w:val="18"/>
        </w:rPr>
        <w:t>1</w:t>
      </w:r>
      <w:r w:rsidRPr="005828AA">
        <w:rPr>
          <w:rFonts w:ascii="Avenir Book" w:hAnsi="Avenir Book"/>
          <w:sz w:val="18"/>
          <w:szCs w:val="18"/>
        </w:rPr>
        <w:t>)</w:t>
      </w:r>
      <w:r w:rsidR="006528AB" w:rsidRPr="005828AA">
        <w:rPr>
          <w:rFonts w:ascii="Avenir Book" w:hAnsi="Avenir Book"/>
          <w:sz w:val="18"/>
          <w:szCs w:val="18"/>
        </w:rPr>
        <w:t>. Artículo, Cómo pueden financiarse los emprendedores en Colombia, de Colomb</w:t>
      </w:r>
      <w:r w:rsidR="0040107B" w:rsidRPr="005828AA">
        <w:rPr>
          <w:rFonts w:ascii="Avenir Book" w:hAnsi="Avenir Book"/>
          <w:sz w:val="18"/>
          <w:szCs w:val="18"/>
        </w:rPr>
        <w:t xml:space="preserve">ia Fintech </w:t>
      </w:r>
      <w:r w:rsidR="006528AB" w:rsidRPr="005828AA">
        <w:rPr>
          <w:rFonts w:ascii="Avenir Book" w:hAnsi="Avenir Book"/>
          <w:sz w:val="18"/>
          <w:szCs w:val="18"/>
        </w:rPr>
        <w:t>sitio we</w:t>
      </w:r>
      <w:r w:rsidR="0040107B" w:rsidRPr="005828AA">
        <w:rPr>
          <w:rFonts w:ascii="Avenir Book" w:hAnsi="Avenir Book"/>
          <w:sz w:val="18"/>
          <w:szCs w:val="18"/>
        </w:rPr>
        <w:t xml:space="preserve">b: </w:t>
      </w:r>
      <w:hyperlink r:id="rId7" w:history="1">
        <w:r w:rsidRPr="005828AA">
          <w:rPr>
            <w:rStyle w:val="Hipervnculo"/>
            <w:rFonts w:ascii="Avenir Book" w:hAnsi="Avenir Book"/>
            <w:sz w:val="18"/>
            <w:szCs w:val="18"/>
            <w:lang w:val="es-ES"/>
          </w:rPr>
          <w:t>https://colombiafintech.co/lineaDeTiempo/articulo/como-pueden-financiarse-los-emprendedores-en-colombia</w:t>
        </w:r>
      </w:hyperlink>
      <w:r w:rsidR="0040107B" w:rsidRPr="005828AA">
        <w:rPr>
          <w:rFonts w:ascii="Avenir Book" w:hAnsi="Avenir Book"/>
          <w:sz w:val="18"/>
          <w:szCs w:val="18"/>
          <w:lang w:val="es-ES"/>
        </w:rPr>
        <w:t xml:space="preserve"> </w:t>
      </w:r>
    </w:p>
    <w:p w14:paraId="56116FD9" w14:textId="6E6197D5" w:rsidR="00CA3807" w:rsidRPr="005828AA" w:rsidRDefault="00976D5E" w:rsidP="00CA3807">
      <w:pPr>
        <w:ind w:left="-284"/>
        <w:jc w:val="both"/>
        <w:rPr>
          <w:rFonts w:ascii="Avenir Book" w:hAnsi="Avenir Book"/>
          <w:sz w:val="18"/>
          <w:szCs w:val="18"/>
          <w:lang w:val="es-ES"/>
        </w:rPr>
      </w:pPr>
      <w:r w:rsidRPr="005828AA">
        <w:rPr>
          <w:rFonts w:ascii="Avenir Book" w:hAnsi="Avenir Book"/>
          <w:sz w:val="18"/>
          <w:szCs w:val="18"/>
          <w:lang w:val="es-ES"/>
        </w:rPr>
        <w:t xml:space="preserve">Anderson Urrego. (2021). </w:t>
      </w:r>
      <w:r w:rsidR="00D77044" w:rsidRPr="005828AA">
        <w:rPr>
          <w:rFonts w:ascii="Avenir Book" w:hAnsi="Avenir Book"/>
          <w:sz w:val="18"/>
          <w:szCs w:val="18"/>
          <w:lang w:val="es-ES"/>
        </w:rPr>
        <w:t xml:space="preserve">Artículo, Cinco opciones de financiamiento que pueden utilizar las Pyme para su reactivación, de La República sitio Web: </w:t>
      </w:r>
      <w:hyperlink r:id="rId8" w:history="1">
        <w:r w:rsidR="009F4DEC" w:rsidRPr="005828AA">
          <w:rPr>
            <w:rStyle w:val="Hipervnculo"/>
            <w:rFonts w:ascii="Avenir Book" w:hAnsi="Avenir Book"/>
            <w:sz w:val="18"/>
            <w:szCs w:val="18"/>
            <w:lang w:val="es-ES"/>
          </w:rPr>
          <w:t>https://www.larepublica.co/especiales/reactivacion-de-las-pyme/las-opciones-de-financiamiento-que-pueden-utilizar-las-pyme-para-su-reactivacion-3158716</w:t>
        </w:r>
      </w:hyperlink>
      <w:r w:rsidR="009F4DEC" w:rsidRPr="005828AA">
        <w:rPr>
          <w:rFonts w:ascii="Avenir Book" w:hAnsi="Avenir Book"/>
          <w:sz w:val="18"/>
          <w:szCs w:val="18"/>
          <w:lang w:val="es-ES"/>
        </w:rPr>
        <w:t xml:space="preserve"> </w:t>
      </w:r>
    </w:p>
    <w:p w14:paraId="01CAD7D2" w14:textId="6B537BA9" w:rsidR="009F4DEC" w:rsidRPr="005828AA" w:rsidRDefault="00D26AA1" w:rsidP="00CA3807">
      <w:pPr>
        <w:ind w:left="-284"/>
        <w:jc w:val="both"/>
        <w:rPr>
          <w:rFonts w:ascii="Avenir Book" w:hAnsi="Avenir Book"/>
          <w:sz w:val="18"/>
          <w:szCs w:val="18"/>
          <w:lang w:val="es-ES"/>
        </w:rPr>
      </w:pPr>
      <w:r w:rsidRPr="005828AA">
        <w:rPr>
          <w:rFonts w:ascii="Avenir Book" w:hAnsi="Avenir Book"/>
          <w:sz w:val="18"/>
          <w:szCs w:val="18"/>
          <w:lang w:val="es-ES"/>
        </w:rPr>
        <w:t>Euroinnova</w:t>
      </w:r>
      <w:r w:rsidR="000A7C86" w:rsidRPr="005828AA">
        <w:rPr>
          <w:rFonts w:ascii="Avenir Book" w:hAnsi="Avenir Book"/>
          <w:sz w:val="18"/>
          <w:szCs w:val="18"/>
          <w:lang w:val="es-ES"/>
        </w:rPr>
        <w:t xml:space="preserve">. Blog, Fuentes de Financiamiento, de sitio Web: </w:t>
      </w:r>
      <w:hyperlink r:id="rId9" w:anchor="iquestqueacute-son-las-fuentes-de-financiamiento" w:history="1">
        <w:r w:rsidR="000A7C86" w:rsidRPr="005828AA">
          <w:rPr>
            <w:rStyle w:val="Hipervnculo"/>
            <w:rFonts w:ascii="Avenir Book" w:hAnsi="Avenir Book"/>
            <w:sz w:val="18"/>
            <w:szCs w:val="18"/>
            <w:lang w:val="es-ES"/>
          </w:rPr>
          <w:t>https://www.euroinnova.co/blog/fuentes-de-financiamiento-que-son#iquestqueacute-son-las-fuentes-de-financiamiento</w:t>
        </w:r>
      </w:hyperlink>
      <w:r w:rsidR="000A7C86" w:rsidRPr="005828AA">
        <w:rPr>
          <w:rFonts w:ascii="Avenir Book" w:hAnsi="Avenir Book"/>
          <w:sz w:val="18"/>
          <w:szCs w:val="18"/>
          <w:lang w:val="es-ES"/>
        </w:rPr>
        <w:t xml:space="preserve"> </w:t>
      </w:r>
    </w:p>
    <w:p w14:paraId="3D7BA754" w14:textId="7AE4F8C4" w:rsidR="009F4DEC" w:rsidRPr="005828AA" w:rsidRDefault="006D4268" w:rsidP="00CA3807">
      <w:pPr>
        <w:ind w:left="-284"/>
        <w:jc w:val="both"/>
        <w:rPr>
          <w:rFonts w:ascii="Avenir Book" w:hAnsi="Avenir Book"/>
          <w:sz w:val="18"/>
          <w:szCs w:val="18"/>
          <w:lang w:val="es-ES"/>
        </w:rPr>
      </w:pPr>
      <w:r w:rsidRPr="005828AA">
        <w:rPr>
          <w:rFonts w:ascii="Avenir Book" w:hAnsi="Avenir Book"/>
          <w:sz w:val="18"/>
          <w:szCs w:val="18"/>
          <w:lang w:val="es-ES"/>
        </w:rPr>
        <w:t xml:space="preserve">Revista Semana. (2019). Artículo </w:t>
      </w:r>
      <w:r w:rsidR="004A65BF" w:rsidRPr="005828AA">
        <w:rPr>
          <w:rFonts w:ascii="Avenir Book" w:hAnsi="Avenir Book"/>
          <w:sz w:val="18"/>
          <w:szCs w:val="18"/>
          <w:lang w:val="es-ES"/>
        </w:rPr>
        <w:t xml:space="preserve">como pueden acceder las pymes a financiación, de Revista semana sitio web: </w:t>
      </w:r>
      <w:hyperlink r:id="rId10" w:history="1">
        <w:r w:rsidR="00F40ADF" w:rsidRPr="005828AA">
          <w:rPr>
            <w:rStyle w:val="Hipervnculo"/>
            <w:rFonts w:ascii="Avenir Book" w:hAnsi="Avenir Book"/>
            <w:sz w:val="18"/>
            <w:szCs w:val="18"/>
            <w:lang w:val="es-ES"/>
          </w:rPr>
          <w:t>https://www.semana.com/empresas/articulo/como-pueden-acceder-las-pymes-a-financiacion/278796/</w:t>
        </w:r>
      </w:hyperlink>
      <w:r w:rsidR="00F40ADF" w:rsidRPr="005828AA">
        <w:rPr>
          <w:rFonts w:ascii="Avenir Book" w:hAnsi="Avenir Book"/>
          <w:sz w:val="18"/>
          <w:szCs w:val="18"/>
          <w:lang w:val="es-ES"/>
        </w:rPr>
        <w:t xml:space="preserve"> </w:t>
      </w:r>
    </w:p>
    <w:p w14:paraId="63D7BE0A" w14:textId="77777777" w:rsidR="009F4DEC" w:rsidRPr="005828AA" w:rsidRDefault="009F4DEC" w:rsidP="00CA3807">
      <w:pPr>
        <w:ind w:left="-284"/>
        <w:jc w:val="both"/>
        <w:rPr>
          <w:rStyle w:val="Hipervnculo"/>
          <w:rFonts w:ascii="Avenir Book" w:hAnsi="Avenir Book"/>
          <w:sz w:val="18"/>
          <w:szCs w:val="18"/>
        </w:rPr>
      </w:pPr>
    </w:p>
    <w:p w14:paraId="11C989F9" w14:textId="77777777" w:rsidR="007F5057" w:rsidRPr="005828AA" w:rsidRDefault="007F5057" w:rsidP="00CA3807">
      <w:pPr>
        <w:ind w:left="-284"/>
        <w:jc w:val="both"/>
        <w:rPr>
          <w:rFonts w:ascii="Avenir Book" w:hAnsi="Avenir Book"/>
          <w:color w:val="806000" w:themeColor="accent4" w:themeShade="80"/>
          <w:lang w:val="es-ES"/>
        </w:rPr>
      </w:pPr>
    </w:p>
    <w:p w14:paraId="5235EB2D" w14:textId="77777777" w:rsidR="00CA3807" w:rsidRPr="005828AA" w:rsidRDefault="00CA3807" w:rsidP="00CA3807">
      <w:pPr>
        <w:ind w:left="-284"/>
        <w:jc w:val="both"/>
        <w:rPr>
          <w:rFonts w:ascii="Avenir Book" w:hAnsi="Avenir Book"/>
          <w:color w:val="806000" w:themeColor="accent4" w:themeShade="80"/>
          <w:lang w:val="es-ES"/>
        </w:rPr>
      </w:pPr>
    </w:p>
    <w:p w14:paraId="291A7B41" w14:textId="77777777" w:rsidR="00CA3807" w:rsidRPr="005828AA" w:rsidRDefault="00CA3807" w:rsidP="00E57145">
      <w:pPr>
        <w:ind w:left="-284"/>
        <w:jc w:val="right"/>
        <w:rPr>
          <w:rFonts w:ascii="Avenir Book" w:hAnsi="Avenir Book"/>
          <w:color w:val="806000" w:themeColor="accent4" w:themeShade="80"/>
          <w:lang w:val="es-ES"/>
        </w:rPr>
      </w:pPr>
    </w:p>
    <w:p w14:paraId="1EA34E51" w14:textId="77777777" w:rsidR="00CA3807" w:rsidRPr="00BF4693" w:rsidRDefault="00CA3807" w:rsidP="00E57145">
      <w:pPr>
        <w:ind w:left="-284"/>
        <w:jc w:val="right"/>
        <w:rPr>
          <w:rFonts w:ascii="Century Gothic" w:hAnsi="Century Gothic"/>
          <w:color w:val="806000" w:themeColor="accent4" w:themeShade="80"/>
          <w:sz w:val="36"/>
          <w:szCs w:val="36"/>
          <w:lang w:val="es-ES"/>
        </w:rPr>
      </w:pPr>
    </w:p>
    <w:sectPr w:rsidR="00CA3807" w:rsidRPr="00BF4693" w:rsidSect="005828AA">
      <w:headerReference w:type="default" r:id="rId11"/>
      <w:pgSz w:w="12240" w:h="15840"/>
      <w:pgMar w:top="1417" w:right="1701" w:bottom="1417" w:left="1701"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2AE8" w14:textId="77777777" w:rsidR="005828AA" w:rsidRDefault="005828AA" w:rsidP="005828AA">
      <w:pPr>
        <w:spacing w:after="0" w:line="240" w:lineRule="auto"/>
      </w:pPr>
      <w:r>
        <w:separator/>
      </w:r>
    </w:p>
  </w:endnote>
  <w:endnote w:type="continuationSeparator" w:id="0">
    <w:p w14:paraId="3697B702" w14:textId="77777777" w:rsidR="005828AA" w:rsidRDefault="005828AA" w:rsidP="0058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23BE" w14:textId="77777777" w:rsidR="005828AA" w:rsidRDefault="005828AA" w:rsidP="005828AA">
      <w:pPr>
        <w:spacing w:after="0" w:line="240" w:lineRule="auto"/>
      </w:pPr>
      <w:r>
        <w:separator/>
      </w:r>
    </w:p>
  </w:footnote>
  <w:footnote w:type="continuationSeparator" w:id="0">
    <w:p w14:paraId="032F0A5C" w14:textId="77777777" w:rsidR="005828AA" w:rsidRDefault="005828AA" w:rsidP="00582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943A" w14:textId="30F26013" w:rsidR="005828AA" w:rsidRDefault="00FC254E">
    <w:pPr>
      <w:pStyle w:val="Encabezado"/>
    </w:pPr>
    <w:r>
      <w:rPr>
        <w:noProof/>
      </w:rPr>
      <w:drawing>
        <wp:anchor distT="0" distB="0" distL="114300" distR="114300" simplePos="0" relativeHeight="251660288" behindDoc="1" locked="0" layoutInCell="1" allowOverlap="1" wp14:anchorId="028A171F" wp14:editId="2AA6473D">
          <wp:simplePos x="0" y="0"/>
          <wp:positionH relativeFrom="margin">
            <wp:posOffset>-1642654</wp:posOffset>
          </wp:positionH>
          <wp:positionV relativeFrom="margin">
            <wp:posOffset>-1218565</wp:posOffset>
          </wp:positionV>
          <wp:extent cx="8966949" cy="104502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8966949" cy="1045028"/>
                  </a:xfrm>
                  <a:prstGeom prst="rect">
                    <a:avLst/>
                  </a:prstGeom>
                </pic:spPr>
              </pic:pic>
            </a:graphicData>
          </a:graphic>
          <wp14:sizeRelH relativeFrom="margin">
            <wp14:pctWidth>0</wp14:pctWidth>
          </wp14:sizeRelH>
          <wp14:sizeRelV relativeFrom="margin">
            <wp14:pctHeight>0</wp14:pctHeight>
          </wp14:sizeRelV>
        </wp:anchor>
      </w:drawing>
    </w:r>
    <w:r w:rsidR="005828AA">
      <w:rPr>
        <w:noProof/>
      </w:rPr>
      <mc:AlternateContent>
        <mc:Choice Requires="wps">
          <w:drawing>
            <wp:anchor distT="0" distB="0" distL="114300" distR="114300" simplePos="0" relativeHeight="251659264" behindDoc="0" locked="0" layoutInCell="1" allowOverlap="1" wp14:anchorId="4DC5B2F4" wp14:editId="29094E32">
              <wp:simplePos x="0" y="0"/>
              <wp:positionH relativeFrom="column">
                <wp:posOffset>-1220470</wp:posOffset>
              </wp:positionH>
              <wp:positionV relativeFrom="paragraph">
                <wp:posOffset>-1020627</wp:posOffset>
              </wp:positionV>
              <wp:extent cx="7984671" cy="220436"/>
              <wp:effectExtent l="0" t="0" r="3810" b="0"/>
              <wp:wrapNone/>
              <wp:docPr id="2" name="Rectángulo 2"/>
              <wp:cNvGraphicFramePr/>
              <a:graphic xmlns:a="http://schemas.openxmlformats.org/drawingml/2006/main">
                <a:graphicData uri="http://schemas.microsoft.com/office/word/2010/wordprocessingShape">
                  <wps:wsp>
                    <wps:cNvSpPr/>
                    <wps:spPr>
                      <a:xfrm>
                        <a:off x="0" y="0"/>
                        <a:ext cx="7984671" cy="220436"/>
                      </a:xfrm>
                      <a:prstGeom prst="rect">
                        <a:avLst/>
                      </a:prstGeom>
                      <a:solidFill>
                        <a:srgbClr val="2183C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E1A5B" id="Rectángulo 2" o:spid="_x0000_s1026" style="position:absolute;margin-left:-96.1pt;margin-top:-80.35pt;width:628.7pt;height:1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vI9gAIAAF8FAAAOAAAAZHJzL2Uyb0RvYy54bWysVE1v2zAMvQ/YfxB0X+246VdQpwhSdBhQ&#13;&#10;dMXaoWdFlhIDsqhRSpzs14+SP9J1xQ7DclAkkXwknx91fbNvDNsp9DXYkk9Ocs6UlVDVdl3y7893&#13;&#10;ny4580HYShiwquQH5fnN/OOH69bNVAEbMJVCRiDWz1pX8k0IbpZlXm5UI/wJOGXJqAEbEeiI66xC&#13;&#10;0RJ6Y7Iiz8+zFrByCFJ5T7e3nZHPE77WSoavWnsVmCk51RbSimldxTWbX4vZGoXb1LIvQ/xDFY2o&#13;&#10;LSUdoW5FEGyL9R9QTS0RPOhwIqHJQOtaqtQDdTPJ33TztBFOpV6IHO9Gmvz/g5UPuyf3iERD6/zM&#13;&#10;0zZ2sdfYxH+qj+0TWYeRLLUPTNLlxdXl9PxiwpkkW1Hk09PzyGZ2jHbow2cFDYubkiN9jMSR2N37&#13;&#10;0LkOLjGZB1NXd7Ux6YDr1dIg2wn6cMXk8nR52qP/5mZsdLYQwzrEeJMde0m7cDAq+hn7TWlWV1R9&#13;&#10;kSpJMlNjHiGlsmHSmTaiUl36s5x+Q/YozBiROk2AEVlT/hG7Bxg8O5ABu6uy94+hKql0DM7/VlgX&#13;&#10;PEakzGDDGNzUFvA9AENd9Zk7/4GkjprI0gqqwyMyhG5GvJN3NX23e+HDo0AaChofGvTwlRZtoC05&#13;&#10;9DvONoA/37uP/qRVsnLW0pCV3P/YClScmS+WVHw1mU7jVKbD9OyioAO+tqxeW+y2WQLJgTRH1aVt&#13;&#10;9A9m2GqE5oXeg0XMSiZhJeUuuQw4HJahG356UaRaLJIbTaIT4d4+ORnBI6tRl8/7F4GuF28g2T/A&#13;&#10;MJBi9kbDnW+MtLDYBtB1EviR155vmuIknP7Fic/E63PyOr6L818AAAD//wMAUEsDBBQABgAIAAAA&#13;&#10;IQA6HKpB5QAAABQBAAAPAAAAZHJzL2Rvd25yZXYueG1sTE/BTsMwDL0j8Q+RkbhtySpWoGs6IQbi&#13;&#10;hBADDtyyxrSFxilN1nV8Pe4JLpb9/Pz8Xr4eXSsG7EPjScNirkAgld42VGl4fbmfXYEI0ZA1rSfU&#13;&#10;cMQA6+L0JDeZ9Qd6xmEbK8EiFDKjoY6xy6QMZY3OhLnvkHj34XtnIo99JW1vDizuWpkolUpnGuIP&#13;&#10;tenwtsbya7t3/OTh++7twr3HRxwp3RyHz3b59KP1+dm4WXG5WYGIOMa/C5gysH8o2NjO78kG0WqY&#13;&#10;La6ThLlTl6pLEBNHpUvGdhOWpApkkcv/YYpfAAAA//8DAFBLAQItABQABgAIAAAAIQC2gziS/gAA&#13;&#10;AOEBAAATAAAAAAAAAAAAAAAAAAAAAABbQ29udGVudF9UeXBlc10ueG1sUEsBAi0AFAAGAAgAAAAh&#13;&#10;ADj9If/WAAAAlAEAAAsAAAAAAAAAAAAAAAAALwEAAF9yZWxzLy5yZWxzUEsBAi0AFAAGAAgAAAAh&#13;&#10;AK/y8j2AAgAAXwUAAA4AAAAAAAAAAAAAAAAALgIAAGRycy9lMm9Eb2MueG1sUEsBAi0AFAAGAAgA&#13;&#10;AAAhADocqkHlAAAAFAEAAA8AAAAAAAAAAAAAAAAA2gQAAGRycy9kb3ducmV2LnhtbFBLBQYAAAAA&#13;&#10;BAAEAPMAAADsBQAAAAA=&#13;&#10;" fillcolor="#2183c3" stroked="f" strokeweight="1pt"/>
          </w:pict>
        </mc:Fallback>
      </mc:AlternateContent>
    </w:r>
  </w:p>
  <w:p w14:paraId="3AEE9BC4" w14:textId="166161D2" w:rsidR="005828AA" w:rsidRDefault="005828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45"/>
    <w:rsid w:val="0000160A"/>
    <w:rsid w:val="0002455E"/>
    <w:rsid w:val="000251CC"/>
    <w:rsid w:val="00025223"/>
    <w:rsid w:val="00035D21"/>
    <w:rsid w:val="0008072F"/>
    <w:rsid w:val="0009092A"/>
    <w:rsid w:val="00093A27"/>
    <w:rsid w:val="000959CB"/>
    <w:rsid w:val="000A7C86"/>
    <w:rsid w:val="000C3137"/>
    <w:rsid w:val="000C319E"/>
    <w:rsid w:val="000F4098"/>
    <w:rsid w:val="000F4AAF"/>
    <w:rsid w:val="001A511F"/>
    <w:rsid w:val="001B5108"/>
    <w:rsid w:val="001E7C2D"/>
    <w:rsid w:val="001F1E0B"/>
    <w:rsid w:val="0023798E"/>
    <w:rsid w:val="002819B8"/>
    <w:rsid w:val="00287C90"/>
    <w:rsid w:val="002929D4"/>
    <w:rsid w:val="002A1722"/>
    <w:rsid w:val="002C1226"/>
    <w:rsid w:val="002E0997"/>
    <w:rsid w:val="002F2EE4"/>
    <w:rsid w:val="00332824"/>
    <w:rsid w:val="00346C3D"/>
    <w:rsid w:val="00370530"/>
    <w:rsid w:val="0037192E"/>
    <w:rsid w:val="003846DA"/>
    <w:rsid w:val="003F7C89"/>
    <w:rsid w:val="004009BC"/>
    <w:rsid w:val="0040107B"/>
    <w:rsid w:val="00431FDF"/>
    <w:rsid w:val="00445CAF"/>
    <w:rsid w:val="004A65BF"/>
    <w:rsid w:val="0051451D"/>
    <w:rsid w:val="0052566F"/>
    <w:rsid w:val="00581F15"/>
    <w:rsid w:val="005828AA"/>
    <w:rsid w:val="005D3F81"/>
    <w:rsid w:val="00605A0B"/>
    <w:rsid w:val="00606C8D"/>
    <w:rsid w:val="006528AB"/>
    <w:rsid w:val="0067066F"/>
    <w:rsid w:val="006D33BB"/>
    <w:rsid w:val="006D4268"/>
    <w:rsid w:val="00753001"/>
    <w:rsid w:val="00765487"/>
    <w:rsid w:val="00785594"/>
    <w:rsid w:val="007A1613"/>
    <w:rsid w:val="007E0A51"/>
    <w:rsid w:val="007F2E24"/>
    <w:rsid w:val="007F3E99"/>
    <w:rsid w:val="007F5057"/>
    <w:rsid w:val="00801ACD"/>
    <w:rsid w:val="008316FB"/>
    <w:rsid w:val="00841B28"/>
    <w:rsid w:val="00871F4B"/>
    <w:rsid w:val="00882028"/>
    <w:rsid w:val="008954BA"/>
    <w:rsid w:val="008A69CF"/>
    <w:rsid w:val="008C48EB"/>
    <w:rsid w:val="008C7261"/>
    <w:rsid w:val="008D3DBD"/>
    <w:rsid w:val="008D4805"/>
    <w:rsid w:val="008D6BA9"/>
    <w:rsid w:val="008F4A1F"/>
    <w:rsid w:val="008F4D61"/>
    <w:rsid w:val="009408BE"/>
    <w:rsid w:val="00976D5E"/>
    <w:rsid w:val="009E0BD9"/>
    <w:rsid w:val="009F4DEC"/>
    <w:rsid w:val="00A10509"/>
    <w:rsid w:val="00A4240E"/>
    <w:rsid w:val="00A505CD"/>
    <w:rsid w:val="00A53484"/>
    <w:rsid w:val="00A553EF"/>
    <w:rsid w:val="00A825DD"/>
    <w:rsid w:val="00AA48EE"/>
    <w:rsid w:val="00AC75C1"/>
    <w:rsid w:val="00AD195B"/>
    <w:rsid w:val="00AD3346"/>
    <w:rsid w:val="00B20EE7"/>
    <w:rsid w:val="00B65074"/>
    <w:rsid w:val="00B763B2"/>
    <w:rsid w:val="00BC3948"/>
    <w:rsid w:val="00BC48AB"/>
    <w:rsid w:val="00BF4693"/>
    <w:rsid w:val="00C502F4"/>
    <w:rsid w:val="00CA27B0"/>
    <w:rsid w:val="00CA3807"/>
    <w:rsid w:val="00D06222"/>
    <w:rsid w:val="00D16C0A"/>
    <w:rsid w:val="00D26AA1"/>
    <w:rsid w:val="00D33F20"/>
    <w:rsid w:val="00D43D3F"/>
    <w:rsid w:val="00D52360"/>
    <w:rsid w:val="00D57335"/>
    <w:rsid w:val="00D77044"/>
    <w:rsid w:val="00D934C2"/>
    <w:rsid w:val="00DA57C4"/>
    <w:rsid w:val="00E06019"/>
    <w:rsid w:val="00E52AE5"/>
    <w:rsid w:val="00E551AF"/>
    <w:rsid w:val="00E57145"/>
    <w:rsid w:val="00E90150"/>
    <w:rsid w:val="00EA7D1D"/>
    <w:rsid w:val="00EB619A"/>
    <w:rsid w:val="00ED32B3"/>
    <w:rsid w:val="00EF4A85"/>
    <w:rsid w:val="00F13C41"/>
    <w:rsid w:val="00F40ADF"/>
    <w:rsid w:val="00F628E4"/>
    <w:rsid w:val="00FC254E"/>
    <w:rsid w:val="00FD16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5FF537"/>
  <w15:chartTrackingRefBased/>
  <w15:docId w15:val="{1B1191AD-FB69-4A0F-9CEB-E0736C07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6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3807"/>
    <w:rPr>
      <w:color w:val="0563C1" w:themeColor="hyperlink"/>
      <w:u w:val="single"/>
    </w:rPr>
  </w:style>
  <w:style w:type="character" w:styleId="Mencinsinresolver">
    <w:name w:val="Unresolved Mention"/>
    <w:basedOn w:val="Fuentedeprrafopredeter"/>
    <w:uiPriority w:val="99"/>
    <w:semiHidden/>
    <w:unhideWhenUsed/>
    <w:rsid w:val="00CA3807"/>
    <w:rPr>
      <w:color w:val="605E5C"/>
      <w:shd w:val="clear" w:color="auto" w:fill="E1DFDD"/>
    </w:rPr>
  </w:style>
  <w:style w:type="character" w:styleId="Hipervnculovisitado">
    <w:name w:val="FollowedHyperlink"/>
    <w:basedOn w:val="Fuentedeprrafopredeter"/>
    <w:uiPriority w:val="99"/>
    <w:semiHidden/>
    <w:unhideWhenUsed/>
    <w:rsid w:val="00287C90"/>
    <w:rPr>
      <w:color w:val="954F72" w:themeColor="followedHyperlink"/>
      <w:u w:val="single"/>
    </w:rPr>
  </w:style>
  <w:style w:type="character" w:styleId="Refdecomentario">
    <w:name w:val="annotation reference"/>
    <w:basedOn w:val="Fuentedeprrafopredeter"/>
    <w:uiPriority w:val="99"/>
    <w:semiHidden/>
    <w:unhideWhenUsed/>
    <w:rsid w:val="000C3137"/>
    <w:rPr>
      <w:sz w:val="16"/>
      <w:szCs w:val="16"/>
    </w:rPr>
  </w:style>
  <w:style w:type="paragraph" w:styleId="Textocomentario">
    <w:name w:val="annotation text"/>
    <w:basedOn w:val="Normal"/>
    <w:link w:val="TextocomentarioCar"/>
    <w:uiPriority w:val="99"/>
    <w:semiHidden/>
    <w:unhideWhenUsed/>
    <w:rsid w:val="000C31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3137"/>
    <w:rPr>
      <w:sz w:val="20"/>
      <w:szCs w:val="20"/>
    </w:rPr>
  </w:style>
  <w:style w:type="paragraph" w:styleId="Asuntodelcomentario">
    <w:name w:val="annotation subject"/>
    <w:basedOn w:val="Textocomentario"/>
    <w:next w:val="Textocomentario"/>
    <w:link w:val="AsuntodelcomentarioCar"/>
    <w:uiPriority w:val="99"/>
    <w:semiHidden/>
    <w:unhideWhenUsed/>
    <w:rsid w:val="000C3137"/>
    <w:rPr>
      <w:b/>
      <w:bCs/>
    </w:rPr>
  </w:style>
  <w:style w:type="character" w:customStyle="1" w:styleId="AsuntodelcomentarioCar">
    <w:name w:val="Asunto del comentario Car"/>
    <w:basedOn w:val="TextocomentarioCar"/>
    <w:link w:val="Asuntodelcomentario"/>
    <w:uiPriority w:val="99"/>
    <w:semiHidden/>
    <w:rsid w:val="000C3137"/>
    <w:rPr>
      <w:b/>
      <w:bCs/>
      <w:sz w:val="20"/>
      <w:szCs w:val="20"/>
    </w:rPr>
  </w:style>
  <w:style w:type="paragraph" w:styleId="Encabezado">
    <w:name w:val="header"/>
    <w:basedOn w:val="Normal"/>
    <w:link w:val="EncabezadoCar"/>
    <w:uiPriority w:val="99"/>
    <w:unhideWhenUsed/>
    <w:rsid w:val="005828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28AA"/>
  </w:style>
  <w:style w:type="paragraph" w:styleId="Piedepgina">
    <w:name w:val="footer"/>
    <w:basedOn w:val="Normal"/>
    <w:link w:val="PiedepginaCar"/>
    <w:uiPriority w:val="99"/>
    <w:unhideWhenUsed/>
    <w:rsid w:val="005828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epublica.co/especiales/reactivacion-de-las-pyme/las-opciones-de-financiamiento-que-pueden-utilizar-las-pyme-para-su-reactivacion-315871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lombiafintech.co/lineaDeTiempo/articulo/como-pueden-financiarse-los-emprendedores-en-colombi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ncadelasoportunidades.gov.co/sites/default/files/2019-02/Financiamiento%20MiPymes.Vf_.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semana.com/empresas/articulo/como-pueden-acceder-las-pymes-a-financiacion/278796/" TargetMode="External"/><Relationship Id="rId4" Type="http://schemas.openxmlformats.org/officeDocument/2006/relationships/footnotes" Target="footnotes.xml"/><Relationship Id="rId9" Type="http://schemas.openxmlformats.org/officeDocument/2006/relationships/hyperlink" Target="https://www.euroinnova.co/blog/fuentes-de-financiamiento-que-s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4</Pages>
  <Words>1034</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Shirley Hernandez Padilla</dc:creator>
  <cp:keywords/>
  <dc:description/>
  <cp:lastModifiedBy>Paola Aponte Diaz</cp:lastModifiedBy>
  <cp:revision>106</cp:revision>
  <dcterms:created xsi:type="dcterms:W3CDTF">2022-05-30T23:27:00Z</dcterms:created>
  <dcterms:modified xsi:type="dcterms:W3CDTF">2022-09-01T22:52:00Z</dcterms:modified>
</cp:coreProperties>
</file>